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BB6A25" w:rsidRDefault="00BB6A25" w:rsidP="00BB6A25">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Business&amp; Economics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C92AA3">
        <w:rPr>
          <w:rFonts w:asciiTheme="majorBidi" w:hAnsiTheme="majorBidi" w:cstheme="majorBidi"/>
          <w:b/>
          <w:bCs/>
          <w:sz w:val="32"/>
          <w:szCs w:val="32"/>
        </w:rPr>
        <w:t>Accounting &amp; Finance</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3B7C" w:rsidRDefault="00624CA7" w:rsidP="004C3B7C">
            <w:pPr>
              <w:spacing w:line="276" w:lineRule="auto"/>
              <w:jc w:val="center"/>
              <w:rPr>
                <w:rFonts w:asciiTheme="majorBidi" w:hAnsiTheme="majorBidi" w:cstheme="majorBidi"/>
                <w:b/>
                <w:bCs/>
                <w:sz w:val="32"/>
                <w:szCs w:val="32"/>
              </w:rPr>
            </w:pPr>
            <w:r w:rsidRPr="00624CA7">
              <w:rPr>
                <w:rFonts w:asciiTheme="majorBidi" w:hAnsiTheme="majorBidi" w:cstheme="majorBidi"/>
                <w:b/>
                <w:bCs/>
                <w:sz w:val="32"/>
                <w:szCs w:val="32"/>
              </w:rPr>
              <w:t>Intermediate Financial Accounting I</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4C3B7C" w:rsidRDefault="00624CA7" w:rsidP="003D63DA">
            <w:pPr>
              <w:spacing w:line="276" w:lineRule="auto"/>
              <w:jc w:val="center"/>
              <w:rPr>
                <w:rFonts w:asciiTheme="majorBidi" w:hAnsiTheme="majorBidi" w:cstheme="majorBidi"/>
                <w:b/>
                <w:bCs/>
                <w:sz w:val="32"/>
                <w:szCs w:val="32"/>
              </w:rPr>
            </w:pPr>
            <w:r>
              <w:rPr>
                <w:rFonts w:asciiTheme="majorBidi" w:hAnsiTheme="majorBidi" w:cstheme="majorBidi"/>
                <w:b/>
                <w:bCs/>
                <w:sz w:val="32"/>
                <w:szCs w:val="32"/>
              </w:rPr>
              <w:t>ACT31</w:t>
            </w:r>
            <w:r w:rsidR="00C27A4D" w:rsidRPr="004C3B7C">
              <w:rPr>
                <w:rFonts w:asciiTheme="majorBidi" w:hAnsiTheme="majorBidi" w:cstheme="majorBidi"/>
                <w:b/>
                <w:bCs/>
                <w:sz w:val="32"/>
                <w:szCs w:val="32"/>
              </w:rPr>
              <w:t>0</w:t>
            </w:r>
            <w:r w:rsidR="001C72F2" w:rsidRPr="004C3B7C">
              <w:rPr>
                <w:rFonts w:asciiTheme="majorBidi" w:hAnsiTheme="majorBidi" w:cstheme="majorBidi"/>
                <w:b/>
                <w:bCs/>
                <w:sz w:val="32"/>
                <w:szCs w:val="32"/>
              </w:rPr>
              <w:t>-</w:t>
            </w:r>
            <w:r w:rsidR="00252DE5" w:rsidRPr="004C3B7C">
              <w:rPr>
                <w:rFonts w:asciiTheme="majorBidi" w:hAnsiTheme="majorBidi" w:cstheme="majorBidi"/>
                <w:b/>
                <w:bCs/>
                <w:sz w:val="32"/>
                <w:szCs w:val="32"/>
              </w:rPr>
              <w:t xml:space="preserve"> Sec </w:t>
            </w:r>
            <w:r w:rsidR="00734F90" w:rsidRPr="004C3B7C">
              <w:rPr>
                <w:rFonts w:asciiTheme="majorBidi" w:hAnsiTheme="majorBidi" w:cstheme="majorBidi"/>
                <w:b/>
                <w:bCs/>
                <w:sz w:val="32"/>
                <w:szCs w:val="32"/>
              </w:rPr>
              <w:t>–</w:t>
            </w:r>
            <w:r w:rsidR="003D63DA">
              <w:rPr>
                <w:rFonts w:asciiTheme="majorBidi" w:hAnsiTheme="majorBidi" w:cstheme="majorBidi"/>
                <w:b/>
                <w:bCs/>
                <w:sz w:val="32"/>
                <w:szCs w:val="32"/>
              </w:rPr>
              <w:t>4</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Pr="004C3B7C" w:rsidRDefault="003D63DA" w:rsidP="008F1439">
            <w:pPr>
              <w:spacing w:line="276" w:lineRule="auto"/>
              <w:jc w:val="center"/>
              <w:rPr>
                <w:rFonts w:asciiTheme="majorBidi" w:hAnsiTheme="majorBidi" w:cstheme="majorBidi"/>
                <w:b/>
                <w:bCs/>
                <w:sz w:val="32"/>
                <w:szCs w:val="32"/>
              </w:rPr>
            </w:pPr>
            <w:r>
              <w:rPr>
                <w:rFonts w:asciiTheme="majorBidi" w:hAnsiTheme="majorBidi" w:cstheme="majorBidi"/>
                <w:b/>
                <w:bCs/>
                <w:sz w:val="32"/>
                <w:szCs w:val="32"/>
              </w:rPr>
              <w:t>SUMMER 2019</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right="-10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Instructor Name:</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D8015D" w:rsidRDefault="00252DE5" w:rsidP="00247FF0">
            <w:pPr>
              <w:rPr>
                <w:rFonts w:ascii="Verdana" w:hAnsi="Verdana"/>
                <w:sz w:val="16"/>
                <w:szCs w:val="16"/>
              </w:rPr>
            </w:pPr>
            <w:r>
              <w:rPr>
                <w:rFonts w:ascii="Verdana" w:hAnsi="Verdana"/>
                <w:b/>
                <w:bCs/>
                <w:sz w:val="16"/>
                <w:szCs w:val="16"/>
              </w:rPr>
              <w:t>Sheikh Mohammad Rabby (Rby)</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b/>
                <w:bCs/>
                <w:color w:val="000000" w:themeColor="text1"/>
                <w:sz w:val="16"/>
                <w:szCs w:val="16"/>
              </w:rPr>
              <w:t>Office Room</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D8015D" w:rsidRDefault="00252DE5" w:rsidP="00247FF0">
            <w:pPr>
              <w:rPr>
                <w:rFonts w:ascii="Verdana" w:hAnsi="Verdana" w:cstheme="majorBidi"/>
                <w:sz w:val="16"/>
                <w:szCs w:val="16"/>
              </w:rPr>
            </w:pPr>
            <w:r>
              <w:rPr>
                <w:rFonts w:ascii="Verdana" w:hAnsi="Verdana" w:cstheme="majorBidi"/>
                <w:sz w:val="16"/>
                <w:szCs w:val="16"/>
              </w:rPr>
              <w:t>NAC 975</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Office Hours:</w:t>
            </w:r>
          </w:p>
        </w:tc>
        <w:tc>
          <w:tcPr>
            <w:tcW w:w="7929" w:type="dxa"/>
            <w:gridSpan w:val="2"/>
            <w:tcBorders>
              <w:top w:val="single" w:sz="4" w:space="0" w:color="auto"/>
              <w:left w:val="single" w:sz="4" w:space="0" w:color="auto"/>
              <w:bottom w:val="single" w:sz="4" w:space="0" w:color="auto"/>
              <w:right w:val="single" w:sz="4" w:space="0" w:color="auto"/>
            </w:tcBorders>
          </w:tcPr>
          <w:p w:rsidR="00CA3628" w:rsidRDefault="00CA3628" w:rsidP="00CA3628">
            <w:pPr>
              <w:rPr>
                <w:rFonts w:ascii="Verdana" w:eastAsia="Times New Roman" w:hAnsi="Verdana" w:cs="Times New Roman"/>
                <w:sz w:val="16"/>
                <w:szCs w:val="16"/>
              </w:rPr>
            </w:pPr>
            <w:r>
              <w:rPr>
                <w:rFonts w:ascii="Verdana" w:eastAsia="Times New Roman" w:hAnsi="Verdana" w:cs="Times New Roman"/>
                <w:sz w:val="16"/>
                <w:szCs w:val="16"/>
              </w:rPr>
              <w:t xml:space="preserve">ST (Sunday-Tuesday)  </w:t>
            </w:r>
            <w:r w:rsidR="00102626">
              <w:rPr>
                <w:rFonts w:ascii="Verdana" w:eastAsia="Times New Roman" w:hAnsi="Verdana" w:cs="Times New Roman"/>
                <w:sz w:val="16"/>
                <w:szCs w:val="16"/>
              </w:rPr>
              <w:t xml:space="preserve">   </w:t>
            </w:r>
            <w:r w:rsidRPr="004F3D48">
              <w:rPr>
                <w:rFonts w:ascii="Verdana" w:eastAsia="Times New Roman" w:hAnsi="Verdana" w:cs="Times New Roman"/>
                <w:sz w:val="16"/>
                <w:szCs w:val="16"/>
              </w:rPr>
              <w:t>01.00 to 02.</w:t>
            </w:r>
            <w:r w:rsidR="00102626">
              <w:rPr>
                <w:rFonts w:ascii="Verdana" w:eastAsia="Times New Roman" w:hAnsi="Verdana" w:cs="Times New Roman"/>
                <w:sz w:val="16"/>
                <w:szCs w:val="16"/>
              </w:rPr>
              <w:t>3</w:t>
            </w:r>
            <w:r w:rsidRPr="004F3D48">
              <w:rPr>
                <w:rFonts w:ascii="Verdana" w:eastAsia="Times New Roman" w:hAnsi="Verdana" w:cs="Times New Roman"/>
                <w:sz w:val="16"/>
                <w:szCs w:val="16"/>
              </w:rPr>
              <w:t xml:space="preserve">0 pm(NAC975) </w:t>
            </w:r>
          </w:p>
          <w:p w:rsidR="00102626" w:rsidRPr="004F3D48" w:rsidRDefault="00102626" w:rsidP="00CA3628">
            <w:pPr>
              <w:rPr>
                <w:rFonts w:ascii="Verdana" w:eastAsia="Times New Roman" w:hAnsi="Verdana" w:cs="Times New Roman"/>
                <w:sz w:val="16"/>
                <w:szCs w:val="16"/>
              </w:rPr>
            </w:pPr>
            <w:r>
              <w:rPr>
                <w:rFonts w:ascii="Verdana" w:eastAsia="Times New Roman" w:hAnsi="Verdana" w:cs="Times New Roman"/>
                <w:sz w:val="16"/>
                <w:szCs w:val="16"/>
              </w:rPr>
              <w:t xml:space="preserve">                                    04.15 to 06.00 pm (Proctor’s Office)</w:t>
            </w:r>
          </w:p>
          <w:p w:rsidR="00CA3628" w:rsidRPr="004F3D48" w:rsidRDefault="00CA3628" w:rsidP="00CA3628">
            <w:pPr>
              <w:rPr>
                <w:rFonts w:ascii="Verdana" w:eastAsia="Times New Roman" w:hAnsi="Verdana" w:cs="Times New Roman"/>
                <w:sz w:val="16"/>
                <w:szCs w:val="16"/>
              </w:rPr>
            </w:pPr>
          </w:p>
          <w:p w:rsidR="00252DE5" w:rsidRPr="00624CA7" w:rsidRDefault="00102626" w:rsidP="00CA3628">
            <w:pPr>
              <w:rPr>
                <w:rFonts w:ascii="Verdana" w:eastAsia="Times New Roman" w:hAnsi="Verdana" w:cs="Times New Roman"/>
                <w:sz w:val="16"/>
                <w:szCs w:val="16"/>
                <w:lang w:val="en-GB" w:eastAsia="en-GB"/>
              </w:rPr>
            </w:pPr>
            <w:r>
              <w:rPr>
                <w:rFonts w:ascii="Verdana" w:eastAsia="Times New Roman" w:hAnsi="Verdana" w:cs="Times New Roman"/>
                <w:sz w:val="16"/>
                <w:szCs w:val="16"/>
              </w:rPr>
              <w:t>M (Monday)                   11.15 to 12.45 pm</w:t>
            </w:r>
            <w:r w:rsidR="00CA3628">
              <w:rPr>
                <w:rFonts w:ascii="Verdana" w:eastAsia="Times New Roman" w:hAnsi="Verdana" w:cs="Times New Roman"/>
                <w:sz w:val="16"/>
                <w:szCs w:val="16"/>
              </w:rPr>
              <w:t xml:space="preserve"> </w:t>
            </w:r>
            <w:r>
              <w:rPr>
                <w:rFonts w:ascii="Verdana" w:eastAsia="Times New Roman" w:hAnsi="Verdana" w:cs="Times New Roman"/>
                <w:sz w:val="16"/>
                <w:szCs w:val="16"/>
              </w:rPr>
              <w:t>(NAC 975)</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Office Phone:</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8D3B0C" w:rsidRDefault="00252DE5" w:rsidP="00247FF0">
            <w:pPr>
              <w:rPr>
                <w:rFonts w:ascii="Verdana" w:hAnsi="Verdana"/>
                <w:sz w:val="16"/>
                <w:szCs w:val="16"/>
              </w:rPr>
            </w:pP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Email Address:</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A41607" w:rsidRDefault="00252DE5" w:rsidP="00247FF0">
            <w:pPr>
              <w:rPr>
                <w:rFonts w:ascii="Verdana" w:hAnsi="Verdana" w:cstheme="majorBidi"/>
                <w:sz w:val="16"/>
                <w:szCs w:val="16"/>
              </w:rPr>
            </w:pPr>
            <w:r w:rsidRPr="00ED31AD">
              <w:rPr>
                <w:rFonts w:ascii="Verdana" w:hAnsi="Verdana"/>
                <w:bCs/>
                <w:sz w:val="16"/>
                <w:szCs w:val="16"/>
              </w:rPr>
              <w:t xml:space="preserve">sheikh.rabby2@gmail.com ; </w:t>
            </w:r>
            <w:r w:rsidRPr="004F2E09">
              <w:rPr>
                <w:rFonts w:ascii="Verdana" w:hAnsi="Verdana"/>
                <w:bCs/>
                <w:sz w:val="16"/>
                <w:szCs w:val="16"/>
              </w:rPr>
              <w:t>sheikh.rabby@northsouth.edu</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F92030">
              <w:rPr>
                <w:rFonts w:ascii="Verdana" w:hAnsi="Verdana" w:cstheme="majorBidi"/>
                <w:b/>
                <w:bCs/>
                <w:color w:val="000000" w:themeColor="text1"/>
                <w:sz w:val="16"/>
                <w:szCs w:val="16"/>
              </w:rPr>
              <w:t xml:space="preserve">Department: </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8D3B0C" w:rsidRDefault="00252DE5" w:rsidP="00247FF0">
            <w:pPr>
              <w:tabs>
                <w:tab w:val="left" w:pos="2279"/>
              </w:tabs>
              <w:rPr>
                <w:rFonts w:ascii="Verdana" w:hAnsi="Verdana"/>
                <w:sz w:val="16"/>
                <w:szCs w:val="16"/>
              </w:rPr>
            </w:pPr>
            <w:r>
              <w:rPr>
                <w:rFonts w:ascii="Verdana" w:hAnsi="Verdana"/>
                <w:sz w:val="16"/>
                <w:szCs w:val="16"/>
              </w:rPr>
              <w:t xml:space="preserve">Accounting and Finance </w:t>
            </w:r>
          </w:p>
        </w:tc>
      </w:tr>
      <w:tr w:rsidR="00252DE5" w:rsidRPr="007460CE" w:rsidTr="00F92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uto"/>
              <w:right w:val="single" w:sz="4" w:space="0" w:color="auto"/>
            </w:tcBorders>
            <w:shd w:val="clear" w:color="auto" w:fill="auto"/>
          </w:tcPr>
          <w:p w:rsidR="00252DE5" w:rsidRPr="00F92030" w:rsidRDefault="00252DE5" w:rsidP="00F9308F">
            <w:pPr>
              <w:pStyle w:val="ListParagraph"/>
              <w:numPr>
                <w:ilvl w:val="0"/>
                <w:numId w:val="27"/>
              </w:numPr>
              <w:ind w:left="318" w:hanging="318"/>
              <w:rPr>
                <w:rFonts w:ascii="Verdana" w:hAnsi="Verdana" w:cstheme="majorBidi"/>
                <w:b/>
                <w:bCs/>
                <w:color w:val="000000" w:themeColor="text1"/>
                <w:sz w:val="16"/>
                <w:szCs w:val="16"/>
              </w:rPr>
            </w:pPr>
            <w:r w:rsidRPr="008D3B0C">
              <w:rPr>
                <w:rFonts w:ascii="Verdana" w:hAnsi="Verdana"/>
                <w:b/>
                <w:bCs/>
                <w:sz w:val="16"/>
                <w:szCs w:val="16"/>
              </w:rPr>
              <w:t>Links:</w:t>
            </w:r>
          </w:p>
        </w:tc>
        <w:tc>
          <w:tcPr>
            <w:tcW w:w="7929" w:type="dxa"/>
            <w:gridSpan w:val="2"/>
            <w:tcBorders>
              <w:top w:val="single" w:sz="4" w:space="0" w:color="auto"/>
              <w:left w:val="single" w:sz="4" w:space="0" w:color="auto"/>
              <w:bottom w:val="single" w:sz="4" w:space="0" w:color="auto"/>
              <w:right w:val="single" w:sz="4" w:space="0" w:color="auto"/>
            </w:tcBorders>
          </w:tcPr>
          <w:p w:rsidR="00252DE5" w:rsidRPr="008D3B0C" w:rsidRDefault="00252DE5" w:rsidP="00247FF0">
            <w:pPr>
              <w:rPr>
                <w:rFonts w:ascii="Verdana" w:hAnsi="Verdana"/>
                <w:sz w:val="16"/>
                <w:szCs w:val="16"/>
              </w:rPr>
            </w:pPr>
            <w:r w:rsidRPr="008D3B0C">
              <w:rPr>
                <w:rFonts w:ascii="Verdana" w:hAnsi="Verdana"/>
                <w:sz w:val="16"/>
                <w:szCs w:val="16"/>
              </w:rPr>
              <w:t xml:space="preserve">North South University Website: </w:t>
            </w:r>
            <w:hyperlink r:id="rId9" w:history="1">
              <w:r w:rsidRPr="008D3B0C">
                <w:rPr>
                  <w:rStyle w:val="Hyperlink"/>
                  <w:rFonts w:ascii="Verdana" w:hAnsi="Verdana"/>
                  <w:sz w:val="16"/>
                  <w:szCs w:val="16"/>
                </w:rPr>
                <w:t>http://www.northsouth.edu</w:t>
              </w:r>
            </w:hyperlink>
          </w:p>
          <w:p w:rsidR="00252DE5" w:rsidRPr="008D3B0C" w:rsidRDefault="00252DE5" w:rsidP="00247FF0">
            <w:pPr>
              <w:rPr>
                <w:rFonts w:ascii="Verdana" w:hAnsi="Verdana"/>
                <w:sz w:val="16"/>
                <w:szCs w:val="16"/>
              </w:rPr>
            </w:pPr>
            <w:r w:rsidRPr="008D3B0C">
              <w:rPr>
                <w:rFonts w:ascii="Verdana" w:hAnsi="Verdana"/>
                <w:sz w:val="16"/>
                <w:szCs w:val="16"/>
              </w:rPr>
              <w:t>School of Business Website: http://www.northsouth.edu/academic/sob/</w:t>
            </w:r>
          </w:p>
          <w:p w:rsidR="00252DE5" w:rsidRPr="008D3B0C" w:rsidRDefault="00252DE5" w:rsidP="00247FF0">
            <w:pPr>
              <w:rPr>
                <w:rFonts w:ascii="Verdana" w:hAnsi="Verdana"/>
                <w:sz w:val="16"/>
                <w:szCs w:val="16"/>
              </w:rPr>
            </w:pP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A863B0" w:rsidRDefault="00A863B0" w:rsidP="003D63DA">
            <w:pPr>
              <w:rPr>
                <w:rFonts w:ascii="Verdana" w:hAnsi="Verdana"/>
                <w:sz w:val="18"/>
                <w:szCs w:val="18"/>
              </w:rPr>
            </w:pPr>
            <w:r>
              <w:rPr>
                <w:rFonts w:ascii="Verdana" w:hAnsi="Verdana"/>
                <w:sz w:val="18"/>
                <w:szCs w:val="18"/>
              </w:rPr>
              <w:t>Sec 0</w:t>
            </w:r>
            <w:r w:rsidR="003D63DA">
              <w:rPr>
                <w:rFonts w:ascii="Verdana" w:hAnsi="Verdana"/>
                <w:sz w:val="18"/>
                <w:szCs w:val="18"/>
              </w:rPr>
              <w:t>4</w:t>
            </w:r>
            <w:r w:rsidR="00457204">
              <w:rPr>
                <w:rFonts w:ascii="Verdana" w:hAnsi="Verdana"/>
                <w:sz w:val="18"/>
                <w:szCs w:val="18"/>
              </w:rPr>
              <w:t xml:space="preserve">: </w:t>
            </w:r>
            <w:r w:rsidR="00CA3628">
              <w:rPr>
                <w:rFonts w:ascii="Verdana" w:hAnsi="Verdana"/>
                <w:sz w:val="18"/>
                <w:szCs w:val="18"/>
              </w:rPr>
              <w:t xml:space="preserve">ST </w:t>
            </w:r>
            <w:r w:rsidR="00457204">
              <w:rPr>
                <w:rFonts w:ascii="Verdana" w:hAnsi="Verdana"/>
                <w:sz w:val="18"/>
                <w:szCs w:val="18"/>
              </w:rPr>
              <w:t>11.20AM – 12.50 P</w:t>
            </w:r>
            <w:r w:rsidR="00457204" w:rsidRPr="00F126A0">
              <w:rPr>
                <w:rFonts w:ascii="Verdana" w:hAnsi="Verdana"/>
                <w:sz w:val="18"/>
                <w:szCs w:val="18"/>
              </w:rPr>
              <w:t>M</w:t>
            </w:r>
            <w:r w:rsidR="00457204">
              <w:rPr>
                <w:rFonts w:ascii="Verdana" w:hAnsi="Verdana"/>
                <w:sz w:val="18"/>
                <w:szCs w:val="18"/>
              </w:rPr>
              <w:t>,</w:t>
            </w:r>
            <w:r w:rsidR="00457204" w:rsidRPr="009B1500">
              <w:rPr>
                <w:rFonts w:ascii="Verdana" w:hAnsi="Verdana"/>
                <w:sz w:val="18"/>
                <w:szCs w:val="18"/>
              </w:rPr>
              <w:t>NAC</w:t>
            </w:r>
            <w:r w:rsidR="006805FA">
              <w:rPr>
                <w:rFonts w:ascii="Verdana" w:hAnsi="Verdana"/>
                <w:sz w:val="18"/>
                <w:szCs w:val="18"/>
              </w:rPr>
              <w:t>2</w:t>
            </w:r>
            <w:r w:rsidR="00CA3628">
              <w:rPr>
                <w:rFonts w:ascii="Verdana" w:hAnsi="Verdana"/>
                <w:sz w:val="18"/>
                <w:szCs w:val="18"/>
              </w:rPr>
              <w:t>10</w:t>
            </w: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C27A4D" w:rsidP="00C7253B">
            <w:pPr>
              <w:rPr>
                <w:rFonts w:ascii="Verdana" w:hAnsi="Verdana" w:cstheme="majorBidi"/>
                <w:sz w:val="18"/>
                <w:szCs w:val="18"/>
              </w:rPr>
            </w:pPr>
            <w:r>
              <w:rPr>
                <w:rFonts w:ascii="Verdana" w:hAnsi="Verdana" w:cstheme="majorBidi"/>
                <w:sz w:val="18"/>
                <w:szCs w:val="18"/>
              </w:rPr>
              <w:t>ACT20</w:t>
            </w:r>
            <w:r w:rsidR="00252DE5">
              <w:rPr>
                <w:rFonts w:ascii="Verdana" w:hAnsi="Verdana" w:cstheme="majorBidi"/>
                <w:sz w:val="18"/>
                <w:szCs w:val="18"/>
              </w:rPr>
              <w:t>1 &amp; FIN 254</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805FA" w:rsidRPr="00430CC0" w:rsidRDefault="006805FA" w:rsidP="006805FA">
            <w:pPr>
              <w:rPr>
                <w:rFonts w:ascii="Verdana" w:hAnsi="Verdana"/>
                <w:sz w:val="18"/>
                <w:szCs w:val="18"/>
              </w:rPr>
            </w:pPr>
            <w:r w:rsidRPr="00430CC0">
              <w:rPr>
                <w:rFonts w:ascii="Verdana" w:hAnsi="Verdana"/>
                <w:sz w:val="18"/>
                <w:szCs w:val="18"/>
              </w:rPr>
              <w:t>This Course builds on the financial accounting concepts and principles covered Financial Accounting. Following an in-depth review of the accounting environment and the nature of accounting information, this course analyzes the accounting process and concepts and explores basic financial statements.  Students are expected to pay detailed attention to how enterprises account for assets:  cash, accounts receivable, inventories, property, plant and equipment, intangible assets and long-term investments.</w:t>
            </w:r>
          </w:p>
          <w:p w:rsidR="008276E3" w:rsidRPr="008B5CA2" w:rsidRDefault="00C27A4D" w:rsidP="00415EAF">
            <w:pPr>
              <w:jc w:val="both"/>
              <w:rPr>
                <w:rFonts w:ascii="Verdana" w:hAnsi="Verdana" w:cstheme="majorBidi"/>
                <w:sz w:val="18"/>
                <w:szCs w:val="18"/>
              </w:rPr>
            </w:pPr>
            <w:r w:rsidRPr="00C27A4D">
              <w:rPr>
                <w:rFonts w:ascii="Verdana" w:hAnsi="Verdana"/>
                <w:sz w:val="18"/>
                <w:szCs w:val="18"/>
              </w:rPr>
              <w:t>.</w:t>
            </w:r>
          </w:p>
        </w:tc>
      </w:tr>
      <w:tr w:rsidR="008276E3" w:rsidRPr="007460CE" w:rsidTr="006805FA">
        <w:tblPrEx>
          <w:shd w:val="clear" w:color="auto" w:fill="auto"/>
        </w:tblPrEx>
        <w:trPr>
          <w:trHeight w:val="450"/>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6805FA" w:rsidP="006805FA">
            <w:pPr>
              <w:rPr>
                <w:rFonts w:ascii="Verdana" w:hAnsi="Verdana" w:cstheme="majorBidi"/>
                <w:sz w:val="18"/>
                <w:szCs w:val="18"/>
              </w:rPr>
            </w:pPr>
            <w:r>
              <w:rPr>
                <w:rFonts w:ascii="Verdana" w:hAnsi="Verdana" w:cs="Times New Roman"/>
                <w:sz w:val="18"/>
                <w:szCs w:val="18"/>
              </w:rPr>
              <w:t>TBA</w:t>
            </w:r>
          </w:p>
        </w:tc>
      </w:tr>
      <w:tr w:rsidR="008276E3" w:rsidRPr="007460CE" w:rsidTr="006805FA">
        <w:tblPrEx>
          <w:shd w:val="clear" w:color="auto" w:fill="auto"/>
        </w:tblPrEx>
        <w:trPr>
          <w:trHeight w:val="1233"/>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6805FA" w:rsidRPr="001D7305" w:rsidRDefault="006805FA" w:rsidP="006805FA">
            <w:pPr>
              <w:pStyle w:val="ListParagraph"/>
              <w:numPr>
                <w:ilvl w:val="0"/>
                <w:numId w:val="47"/>
              </w:numPr>
              <w:jc w:val="both"/>
              <w:rPr>
                <w:rFonts w:cstheme="minorHAnsi"/>
              </w:rPr>
            </w:pPr>
            <w:r w:rsidRPr="001D7305">
              <w:rPr>
                <w:rFonts w:cstheme="minorHAnsi"/>
              </w:rPr>
              <w:t>In depth knowledge of accounting cycle and should be to complete the cycle including presentation, disclosure and assumptions.</w:t>
            </w:r>
          </w:p>
          <w:p w:rsidR="006805FA" w:rsidRPr="001D7305" w:rsidRDefault="006805FA" w:rsidP="006805FA">
            <w:pPr>
              <w:pStyle w:val="ListParagraph"/>
              <w:numPr>
                <w:ilvl w:val="0"/>
                <w:numId w:val="47"/>
              </w:numPr>
              <w:rPr>
                <w:rFonts w:cstheme="minorHAnsi"/>
              </w:rPr>
            </w:pPr>
            <w:r w:rsidRPr="001D7305">
              <w:rPr>
                <w:rFonts w:cstheme="minorHAnsi"/>
              </w:rPr>
              <w:t>Understand the global and Bangladesh accounting environment</w:t>
            </w:r>
          </w:p>
          <w:p w:rsidR="006805FA" w:rsidRPr="001D7305" w:rsidRDefault="006805FA" w:rsidP="006805FA">
            <w:pPr>
              <w:pStyle w:val="ListParagraph"/>
              <w:numPr>
                <w:ilvl w:val="0"/>
                <w:numId w:val="47"/>
              </w:numPr>
              <w:jc w:val="both"/>
              <w:rPr>
                <w:rFonts w:cstheme="minorHAnsi"/>
              </w:rPr>
            </w:pPr>
            <w:r w:rsidRPr="001D7305">
              <w:rPr>
                <w:rFonts w:cstheme="minorHAnsi"/>
              </w:rPr>
              <w:t>Understand the effect and application of Assets and their valuation and presentation in the balance sheet.  Students will be more focused specifically on A/R and inventory concepts and their implication on cash cycle and their adjustment with expense in the Income Statement.</w:t>
            </w:r>
          </w:p>
          <w:p w:rsidR="006805FA" w:rsidRPr="001D7305" w:rsidRDefault="006805FA" w:rsidP="006805FA">
            <w:pPr>
              <w:pStyle w:val="ListParagraph"/>
              <w:numPr>
                <w:ilvl w:val="0"/>
                <w:numId w:val="47"/>
              </w:numPr>
              <w:rPr>
                <w:rFonts w:cstheme="minorHAnsi"/>
              </w:rPr>
            </w:pPr>
            <w:r w:rsidRPr="001D7305">
              <w:rPr>
                <w:rFonts w:cstheme="minorHAnsi"/>
              </w:rPr>
              <w:t xml:space="preserve">Understand the recording, acquiring, disposing of fixed asset and their related </w:t>
            </w:r>
            <w:r w:rsidRPr="001D7305">
              <w:rPr>
                <w:rFonts w:cstheme="minorHAnsi"/>
              </w:rPr>
              <w:lastRenderedPageBreak/>
              <w:t>adjustment to expense in Profit and Loss Statement and their affect in Balance Sheet.</w:t>
            </w:r>
          </w:p>
          <w:p w:rsidR="00415EAF" w:rsidRPr="00512E19" w:rsidRDefault="006805FA" w:rsidP="006805FA">
            <w:pPr>
              <w:pStyle w:val="ListParagraph"/>
              <w:numPr>
                <w:ilvl w:val="0"/>
                <w:numId w:val="48"/>
              </w:numPr>
              <w:rPr>
                <w:rFonts w:ascii="Verdana" w:hAnsi="Verdana"/>
                <w:sz w:val="18"/>
                <w:szCs w:val="18"/>
              </w:rPr>
            </w:pPr>
            <w:r w:rsidRPr="001D7305">
              <w:rPr>
                <w:rFonts w:cstheme="minorHAnsi"/>
              </w:rPr>
              <w:t xml:space="preserve">Understand the basic different transactions in raising capital through issuing, reacquiring and selling shares and distributing different types of dividends.  </w:t>
            </w:r>
          </w:p>
        </w:tc>
      </w:tr>
    </w:tbl>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p>
    <w:tbl>
      <w:tblPr>
        <w:tblStyle w:val="TableGrid"/>
        <w:tblW w:w="10551" w:type="dxa"/>
        <w:tblInd w:w="-176" w:type="dxa"/>
        <w:tblLook w:val="04A0"/>
      </w:tblPr>
      <w:tblGrid>
        <w:gridCol w:w="2490"/>
        <w:gridCol w:w="3323"/>
        <w:gridCol w:w="1416"/>
        <w:gridCol w:w="1425"/>
        <w:gridCol w:w="1897"/>
      </w:tblGrid>
      <w:tr w:rsidR="00547C67" w:rsidRPr="007460CE" w:rsidTr="00512E19">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425"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89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12E19">
        <w:trPr>
          <w:trHeight w:val="352"/>
        </w:trPr>
        <w:tc>
          <w:tcPr>
            <w:tcW w:w="2490" w:type="dxa"/>
          </w:tcPr>
          <w:p w:rsidR="00547C67" w:rsidRPr="007460CE" w:rsidRDefault="00512E19" w:rsidP="007E5C92">
            <w:pPr>
              <w:pStyle w:val="ListParagraph"/>
              <w:ind w:left="284"/>
              <w:rPr>
                <w:rFonts w:ascii="Verdana" w:hAnsi="Verdana" w:cstheme="majorBidi"/>
                <w:sz w:val="18"/>
                <w:szCs w:val="18"/>
              </w:rPr>
            </w:pPr>
            <w:r w:rsidRPr="00512E19">
              <w:rPr>
                <w:rFonts w:ascii="Verdana" w:hAnsi="Verdana" w:cs="Times New Roman"/>
                <w:sz w:val="18"/>
              </w:rPr>
              <w:t>Donald Kieso, Jerry Weygandt, Terry Warfield</w:t>
            </w:r>
          </w:p>
        </w:tc>
        <w:tc>
          <w:tcPr>
            <w:tcW w:w="3323" w:type="dxa"/>
          </w:tcPr>
          <w:p w:rsidR="00547C67" w:rsidRPr="007460CE" w:rsidRDefault="00512E19" w:rsidP="00C7253B">
            <w:pPr>
              <w:rPr>
                <w:rFonts w:ascii="Verdana" w:hAnsi="Verdana" w:cstheme="majorBidi"/>
                <w:sz w:val="18"/>
                <w:szCs w:val="18"/>
              </w:rPr>
            </w:pPr>
            <w:r w:rsidRPr="00512E19">
              <w:rPr>
                <w:rFonts w:ascii="Verdana" w:hAnsi="Verdana" w:cs="Times New Roman"/>
                <w:sz w:val="18"/>
              </w:rPr>
              <w:t>Intermediate Accounting</w:t>
            </w:r>
          </w:p>
        </w:tc>
        <w:tc>
          <w:tcPr>
            <w:tcW w:w="1416" w:type="dxa"/>
          </w:tcPr>
          <w:p w:rsidR="00547C67" w:rsidRPr="00D406D2" w:rsidRDefault="00512E19" w:rsidP="00D406D2">
            <w:pPr>
              <w:rPr>
                <w:rFonts w:ascii="Verdana" w:hAnsi="Verdana" w:cstheme="majorBidi"/>
                <w:sz w:val="18"/>
                <w:szCs w:val="18"/>
              </w:rPr>
            </w:pPr>
            <w:r>
              <w:rPr>
                <w:rFonts w:ascii="Verdana" w:hAnsi="Verdana" w:cs="Times New Roman"/>
                <w:sz w:val="18"/>
              </w:rPr>
              <w:t>15th edition; 2013</w:t>
            </w:r>
          </w:p>
        </w:tc>
        <w:tc>
          <w:tcPr>
            <w:tcW w:w="1425" w:type="dxa"/>
          </w:tcPr>
          <w:p w:rsidR="00547C67" w:rsidRPr="00153284" w:rsidRDefault="00512E19" w:rsidP="00153284">
            <w:pPr>
              <w:rPr>
                <w:rFonts w:ascii="Verdana" w:hAnsi="Verdana" w:cs="Times New Roman"/>
                <w:sz w:val="18"/>
              </w:rPr>
            </w:pPr>
            <w:r w:rsidRPr="00512E19">
              <w:rPr>
                <w:rFonts w:ascii="Verdana" w:hAnsi="Verdana" w:cs="Times New Roman"/>
                <w:sz w:val="18"/>
              </w:rPr>
              <w:t>John Wiley &amp; Sons</w:t>
            </w:r>
          </w:p>
        </w:tc>
        <w:tc>
          <w:tcPr>
            <w:tcW w:w="1897" w:type="dxa"/>
          </w:tcPr>
          <w:p w:rsidR="00547C67" w:rsidRPr="00153284" w:rsidRDefault="00512E19" w:rsidP="00512E19">
            <w:pPr>
              <w:rPr>
                <w:rFonts w:ascii="Verdana" w:hAnsi="Verdana" w:cs="Times New Roman"/>
                <w:sz w:val="18"/>
              </w:rPr>
            </w:pPr>
            <w:r w:rsidRPr="00512E19">
              <w:rPr>
                <w:rFonts w:ascii="Verdana" w:hAnsi="Verdana" w:cs="Times New Roman"/>
                <w:sz w:val="18"/>
              </w:rPr>
              <w:t>978-1-118-14729-0</w:t>
            </w: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47C67">
      <w:pPr>
        <w:pStyle w:val="ListParagraph"/>
        <w:bidi/>
        <w:spacing w:after="0" w:line="240" w:lineRule="auto"/>
        <w:ind w:left="426"/>
        <w:rPr>
          <w:rFonts w:ascii="Verdana" w:hAnsi="Verdana" w:cstheme="majorBidi"/>
          <w:b/>
          <w:bCs/>
          <w:sz w:val="18"/>
          <w:szCs w:val="18"/>
          <w:rtl/>
        </w:rPr>
      </w:pPr>
    </w:p>
    <w:p w:rsidR="00547C67" w:rsidRDefault="00547C67" w:rsidP="005D1B22">
      <w:pPr>
        <w:pStyle w:val="ListParagraph"/>
        <w:bidi/>
        <w:spacing w:after="0" w:line="240" w:lineRule="auto"/>
        <w:ind w:left="426"/>
        <w:jc w:val="center"/>
        <w:rPr>
          <w:rFonts w:ascii="Verdana" w:hAnsi="Verdana" w:cstheme="majorBidi"/>
          <w:b/>
          <w:bCs/>
          <w:rtl/>
          <w:lang w:bidi="ar-QA"/>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1"/>
        <w:gridCol w:w="2940"/>
        <w:gridCol w:w="1557"/>
        <w:gridCol w:w="3086"/>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4C4290" w:rsidRPr="008C44DC" w:rsidTr="00C15D98">
        <w:trPr>
          <w:jc w:val="center"/>
        </w:trPr>
        <w:tc>
          <w:tcPr>
            <w:tcW w:w="2861" w:type="dxa"/>
          </w:tcPr>
          <w:p w:rsidR="004C4290" w:rsidRPr="00960B55" w:rsidRDefault="004C4290" w:rsidP="00247FF0">
            <w:pPr>
              <w:spacing w:after="0" w:line="240" w:lineRule="auto"/>
              <w:ind w:left="720"/>
              <w:rPr>
                <w:rFonts w:ascii="Verdana" w:hAnsi="Verdana"/>
                <w:sz w:val="20"/>
                <w:szCs w:val="20"/>
              </w:rPr>
            </w:pPr>
            <w:r>
              <w:rPr>
                <w:rFonts w:ascii="Verdana" w:hAnsi="Verdana"/>
                <w:sz w:val="20"/>
                <w:szCs w:val="20"/>
              </w:rPr>
              <w:t>Virtual Learning</w:t>
            </w:r>
          </w:p>
        </w:tc>
        <w:tc>
          <w:tcPr>
            <w:tcW w:w="2335" w:type="dxa"/>
          </w:tcPr>
          <w:p w:rsidR="004C4290" w:rsidRPr="00960B55" w:rsidRDefault="004C4290" w:rsidP="00247FF0">
            <w:pPr>
              <w:tabs>
                <w:tab w:val="center" w:pos="1013"/>
              </w:tabs>
              <w:rPr>
                <w:rFonts w:ascii="Verdana" w:hAnsi="Verdana"/>
                <w:sz w:val="20"/>
                <w:szCs w:val="20"/>
              </w:rPr>
            </w:pPr>
            <w:r w:rsidRPr="009B1500">
              <w:rPr>
                <w:rFonts w:ascii="Verdana" w:hAnsi="Verdana"/>
                <w:sz w:val="20"/>
                <w:szCs w:val="20"/>
              </w:rPr>
              <w:t>http://rbynsu.weebly.com/</w:t>
            </w:r>
          </w:p>
        </w:tc>
        <w:tc>
          <w:tcPr>
            <w:tcW w:w="1647" w:type="dxa"/>
          </w:tcPr>
          <w:p w:rsidR="004C4290" w:rsidRPr="00960B55" w:rsidRDefault="004C4290" w:rsidP="00247FF0">
            <w:pPr>
              <w:rPr>
                <w:rFonts w:ascii="Verdana" w:hAnsi="Verdana"/>
                <w:sz w:val="20"/>
                <w:szCs w:val="20"/>
              </w:rPr>
            </w:pPr>
            <w:r>
              <w:rPr>
                <w:rFonts w:ascii="Verdana" w:hAnsi="Verdana"/>
                <w:sz w:val="20"/>
                <w:szCs w:val="20"/>
              </w:rPr>
              <w:t>Website</w:t>
            </w:r>
          </w:p>
        </w:tc>
        <w:tc>
          <w:tcPr>
            <w:tcW w:w="3365" w:type="dxa"/>
          </w:tcPr>
          <w:p w:rsidR="004C4290" w:rsidRPr="00960B55" w:rsidRDefault="004C4290" w:rsidP="00247FF0">
            <w:pPr>
              <w:rPr>
                <w:rFonts w:ascii="Verdana" w:hAnsi="Verdana"/>
                <w:sz w:val="20"/>
                <w:szCs w:val="20"/>
              </w:rPr>
            </w:pP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192AC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r>
              <w:rPr>
                <w:rFonts w:ascii="Verdana" w:hAnsi="Verdana" w:cstheme="majorBidi"/>
                <w:b w:val="0"/>
                <w:bCs w:val="0"/>
                <w:smallCaps w:val="0"/>
                <w:sz w:val="15"/>
                <w:szCs w:val="15"/>
                <w:u w:val="none"/>
              </w:rPr>
              <w:t>On</w:t>
            </w:r>
            <w:r w:rsidRPr="005F6D05">
              <w:rPr>
                <w:rFonts w:ascii="Verdana" w:hAnsi="Verdana" w:cstheme="majorBidi"/>
                <w:b w:val="0"/>
                <w:bCs w:val="0"/>
                <w:smallCaps w:val="0"/>
                <w:sz w:val="15"/>
                <w:szCs w:val="15"/>
                <w:u w:val="none"/>
              </w:rPr>
              <w:t xml:space="preserve">line, </w:t>
            </w:r>
            <w:r w:rsidRPr="0019291A">
              <w:rPr>
                <w:rFonts w:ascii="Verdana" w:hAnsi="Verdana" w:cstheme="majorBidi"/>
                <w:b w:val="0"/>
                <w:bCs w:val="0"/>
                <w:smallCaps w:val="0"/>
                <w:sz w:val="15"/>
                <w:szCs w:val="15"/>
                <w:u w:val="none"/>
              </w:rPr>
              <w:t>classroom, blended</w:t>
            </w:r>
            <w:r w:rsidRPr="005F6D05">
              <w:rPr>
                <w:rFonts w:ascii="Verdana" w:hAnsi="Verdana" w:cstheme="majorBidi"/>
                <w:b w:val="0"/>
                <w:bCs w:val="0"/>
                <w:smallCaps w:val="0"/>
                <w:sz w:val="15"/>
                <w:szCs w:val="15"/>
                <w:u w:val="none"/>
              </w:rPr>
              <w:t>, self-</w:t>
            </w:r>
            <w:r>
              <w:rPr>
                <w:rFonts w:ascii="Verdana" w:hAnsi="Verdana" w:cstheme="majorBidi"/>
                <w:b w:val="0"/>
                <w:bCs w:val="0"/>
                <w:smallCaps w:val="0"/>
                <w:sz w:val="15"/>
                <w:szCs w:val="15"/>
                <w:u w:val="none"/>
              </w:rPr>
              <w:t>directed through CD, web-</w:t>
            </w:r>
            <w:r w:rsidRPr="005F6D05">
              <w:rPr>
                <w:rFonts w:ascii="Verdana" w:hAnsi="Verdana" w:cstheme="majorBidi"/>
                <w:b w:val="0"/>
                <w:bCs w:val="0"/>
                <w:smallCaps w:val="0"/>
                <w:sz w:val="15"/>
                <w:szCs w:val="15"/>
                <w:u w:val="none"/>
              </w:rPr>
              <w:t xml:space="preserve">based courses and </w:t>
            </w:r>
            <w:r>
              <w:rPr>
                <w:rFonts w:ascii="Verdana" w:hAnsi="Verdana" w:cstheme="majorBidi"/>
                <w:b w:val="0"/>
                <w:bCs w:val="0"/>
                <w:smallCaps w:val="0"/>
                <w:sz w:val="15"/>
                <w:szCs w:val="15"/>
                <w:u w:val="none"/>
              </w:rPr>
              <w:t>DVD</w:t>
            </w:r>
            <w:r w:rsidRPr="005F6D05">
              <w:rPr>
                <w:rFonts w:ascii="Verdana" w:hAnsi="Verdana" w:cstheme="majorBidi"/>
                <w:b w:val="0"/>
                <w:bCs w:val="0"/>
                <w:smallCaps w:val="0"/>
                <w:sz w:val="15"/>
                <w:szCs w:val="15"/>
                <w:u w:val="none"/>
              </w:rPr>
              <w:t>,…</w:t>
            </w:r>
            <w:r w:rsidRPr="005F6D05">
              <w:rPr>
                <w:rFonts w:ascii="Verdana" w:hAnsi="Verdana"/>
                <w:b w:val="0"/>
                <w:bCs w:val="0"/>
                <w:smallCaps w:val="0"/>
                <w:sz w:val="15"/>
                <w:szCs w:val="15"/>
                <w:u w:val="none"/>
              </w:rPr>
              <w:t>)</w:t>
            </w:r>
          </w:p>
        </w:tc>
      </w:tr>
    </w:tbl>
    <w:p w:rsidR="005F6D05" w:rsidRPr="006805FA" w:rsidRDefault="006805FA" w:rsidP="00260F11">
      <w:pPr>
        <w:rPr>
          <w:rFonts w:ascii="Verdana" w:hAnsi="Verdana" w:cstheme="majorBidi"/>
          <w:sz w:val="18"/>
          <w:szCs w:val="18"/>
        </w:rPr>
      </w:pPr>
      <w:r>
        <w:rPr>
          <w:rFonts w:ascii="Verdana" w:hAnsi="Verdana"/>
          <w:sz w:val="18"/>
          <w:szCs w:val="18"/>
        </w:rPr>
        <w:t>Each lecture will cover one or more topic.  Students will be required to complete assignment and will be quizzed on the topics taught.  After completion of a number of topics, students will be tested on the material.  Course materials will be available on the course website. Lectures will be accompanied by Power Point presentation and videos and case studies when relevant.</w:t>
      </w: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AA48A5">
            <w:pPr>
              <w:jc w:val="center"/>
              <w:rPr>
                <w:rFonts w:ascii="Verdana" w:hAnsi="Verdana" w:cstheme="majorBidi"/>
                <w:b/>
                <w:bCs/>
                <w:sz w:val="18"/>
                <w:szCs w:val="18"/>
              </w:rPr>
            </w:pPr>
            <w:r w:rsidRPr="0016319E">
              <w:rPr>
                <w:rFonts w:ascii="Verdana" w:hAnsi="Verdana" w:cstheme="majorBidi"/>
                <w:b/>
                <w:bCs/>
                <w:sz w:val="18"/>
                <w:szCs w:val="18"/>
              </w:rPr>
              <w:t>Points</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Class Attendance</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5%</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 xml:space="preserve">Quizzes </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6805FA"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20%</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 xml:space="preserve">Project </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6805FA"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1</w:t>
            </w:r>
            <w:r w:rsidR="00512E19">
              <w:rPr>
                <w:rFonts w:ascii="Verdana" w:eastAsia="Calibri" w:hAnsi="Verdana"/>
                <w:color w:val="auto"/>
                <w:sz w:val="18"/>
                <w:szCs w:val="18"/>
              </w:rPr>
              <w:t>0</w:t>
            </w:r>
            <w:r w:rsidR="00E31073" w:rsidRPr="00A814C7">
              <w:rPr>
                <w:rFonts w:ascii="Verdana" w:eastAsia="Calibri" w:hAnsi="Verdana"/>
                <w:color w:val="auto"/>
                <w:sz w:val="18"/>
                <w:szCs w:val="18"/>
              </w:rPr>
              <w:t xml:space="preserve">% </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Midterm I</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9C7BC2">
            <w:pPr>
              <w:pStyle w:val="Default"/>
              <w:spacing w:after="18"/>
              <w:jc w:val="center"/>
              <w:rPr>
                <w:rFonts w:ascii="Verdana" w:eastAsia="Calibri" w:hAnsi="Verdana"/>
                <w:color w:val="auto"/>
                <w:sz w:val="18"/>
                <w:szCs w:val="18"/>
              </w:rPr>
            </w:pPr>
            <w:r>
              <w:rPr>
                <w:rFonts w:ascii="Verdana" w:eastAsia="Calibri" w:hAnsi="Verdana"/>
                <w:color w:val="auto"/>
                <w:sz w:val="18"/>
                <w:szCs w:val="18"/>
              </w:rPr>
              <w:t>20</w:t>
            </w:r>
            <w:r w:rsidR="00E31073" w:rsidRPr="00A814C7">
              <w:rPr>
                <w:rFonts w:ascii="Verdana" w:eastAsia="Calibri" w:hAnsi="Verdana"/>
                <w:color w:val="auto"/>
                <w:sz w:val="18"/>
                <w:szCs w:val="18"/>
              </w:rPr>
              <w:t>%</w:t>
            </w:r>
          </w:p>
        </w:tc>
      </w:tr>
      <w:tr w:rsidR="00E31073" w:rsidRPr="007460CE" w:rsidTr="00FA4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Midterm II</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6805FA">
            <w:pPr>
              <w:pStyle w:val="Default"/>
              <w:spacing w:after="18"/>
              <w:jc w:val="center"/>
              <w:rPr>
                <w:rFonts w:ascii="Verdana" w:eastAsia="Calibri" w:hAnsi="Verdana"/>
                <w:color w:val="auto"/>
                <w:sz w:val="18"/>
                <w:szCs w:val="18"/>
              </w:rPr>
            </w:pPr>
            <w:r>
              <w:rPr>
                <w:rFonts w:ascii="Verdana" w:eastAsia="Calibri" w:hAnsi="Verdana"/>
                <w:color w:val="auto"/>
                <w:sz w:val="18"/>
                <w:szCs w:val="18"/>
              </w:rPr>
              <w:t>2</w:t>
            </w:r>
            <w:r w:rsidR="006805FA">
              <w:rPr>
                <w:rFonts w:ascii="Verdana" w:eastAsia="Calibri" w:hAnsi="Verdana"/>
                <w:color w:val="auto"/>
                <w:sz w:val="18"/>
                <w:szCs w:val="18"/>
              </w:rPr>
              <w:t>0</w:t>
            </w:r>
            <w:r w:rsidR="00E31073" w:rsidRPr="00A814C7">
              <w:rPr>
                <w:rFonts w:ascii="Verdana" w:eastAsia="Calibri" w:hAnsi="Verdana"/>
                <w:color w:val="auto"/>
                <w:sz w:val="18"/>
                <w:szCs w:val="18"/>
              </w:rPr>
              <w:t>%</w:t>
            </w:r>
          </w:p>
        </w:tc>
      </w:tr>
      <w:tr w:rsidR="00E31073" w:rsidRPr="007460CE" w:rsidTr="00FA4574">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vAlign w:val="center"/>
          </w:tcPr>
          <w:p w:rsidR="00E31073" w:rsidRPr="00A814C7" w:rsidRDefault="00E31073" w:rsidP="009C7BC2">
            <w:pPr>
              <w:pStyle w:val="Default"/>
              <w:spacing w:after="18"/>
              <w:jc w:val="center"/>
              <w:rPr>
                <w:rFonts w:ascii="Verdana" w:eastAsia="Calibri" w:hAnsi="Verdana"/>
                <w:color w:val="auto"/>
                <w:sz w:val="18"/>
                <w:szCs w:val="18"/>
              </w:rPr>
            </w:pPr>
            <w:r w:rsidRPr="00A814C7">
              <w:rPr>
                <w:rFonts w:ascii="Verdana" w:eastAsia="Calibri" w:hAnsi="Verdana"/>
                <w:color w:val="auto"/>
                <w:sz w:val="18"/>
                <w:szCs w:val="18"/>
              </w:rPr>
              <w:t>Final Exam</w:t>
            </w:r>
          </w:p>
        </w:tc>
        <w:tc>
          <w:tcPr>
            <w:tcW w:w="6498" w:type="dxa"/>
            <w:tcBorders>
              <w:top w:val="single" w:sz="4" w:space="0" w:color="auto"/>
              <w:left w:val="single" w:sz="4" w:space="0" w:color="auto"/>
              <w:bottom w:val="single" w:sz="4" w:space="0" w:color="auto"/>
              <w:right w:val="single" w:sz="4" w:space="0" w:color="auto"/>
            </w:tcBorders>
            <w:vAlign w:val="center"/>
          </w:tcPr>
          <w:p w:rsidR="00E31073" w:rsidRPr="00A814C7" w:rsidRDefault="00512E19" w:rsidP="006805FA">
            <w:pPr>
              <w:pStyle w:val="Default"/>
              <w:spacing w:after="18"/>
              <w:jc w:val="center"/>
              <w:rPr>
                <w:rFonts w:ascii="Verdana" w:eastAsia="Calibri" w:hAnsi="Verdana"/>
                <w:color w:val="auto"/>
                <w:sz w:val="18"/>
                <w:szCs w:val="18"/>
              </w:rPr>
            </w:pPr>
            <w:r>
              <w:rPr>
                <w:rFonts w:ascii="Verdana" w:eastAsia="Calibri" w:hAnsi="Verdana"/>
                <w:color w:val="auto"/>
                <w:sz w:val="18"/>
                <w:szCs w:val="18"/>
              </w:rPr>
              <w:t>2</w:t>
            </w:r>
            <w:r w:rsidR="006805FA">
              <w:rPr>
                <w:rFonts w:ascii="Verdana" w:eastAsia="Calibri" w:hAnsi="Verdana"/>
                <w:color w:val="auto"/>
                <w:sz w:val="18"/>
                <w:szCs w:val="18"/>
              </w:rPr>
              <w:t>5</w:t>
            </w:r>
            <w:r w:rsidR="00E31073" w:rsidRPr="00A814C7">
              <w:rPr>
                <w:rFonts w:ascii="Verdana" w:eastAsia="Calibri" w:hAnsi="Verdana"/>
                <w:color w:val="auto"/>
                <w:sz w:val="18"/>
                <w:szCs w:val="18"/>
              </w:rPr>
              <w:t>%</w:t>
            </w:r>
          </w:p>
        </w:tc>
      </w:tr>
    </w:tbl>
    <w:p w:rsidR="0094709B" w:rsidRDefault="0094709B" w:rsidP="00547C67">
      <w:pPr>
        <w:spacing w:after="0" w:line="240" w:lineRule="auto"/>
        <w:rPr>
          <w:rFonts w:ascii="Verdana" w:hAnsi="Verdana" w:cstheme="majorBidi"/>
          <w:sz w:val="18"/>
          <w:szCs w:val="18"/>
        </w:rPr>
      </w:pP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r w:rsidRPr="007460CE">
        <w:rPr>
          <w:rFonts w:ascii="Verdana" w:hAnsi="Verdana" w:cstheme="majorBidi"/>
          <w:sz w:val="18"/>
          <w:szCs w:val="18"/>
        </w:rPr>
        <w:br w:type="page"/>
      </w: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10349"/>
      </w:tblGrid>
      <w:tr w:rsidR="008276E3" w:rsidRPr="007460CE" w:rsidTr="007E5C92">
        <w:tc>
          <w:tcPr>
            <w:tcW w:w="1000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7E5C92">
        <w:tblPrEx>
          <w:tblBorders>
            <w:left w:val="none" w:sz="0" w:space="0" w:color="auto"/>
            <w:bottom w:val="none" w:sz="0" w:space="0" w:color="auto"/>
            <w:right w:val="none" w:sz="0" w:space="0" w:color="auto"/>
          </w:tblBorders>
        </w:tblPrEx>
        <w:trPr>
          <w:trHeight w:val="4939"/>
        </w:trPr>
        <w:tc>
          <w:tcPr>
            <w:tcW w:w="10004" w:type="dxa"/>
            <w:tcBorders>
              <w:bottom w:val="nil"/>
              <w:right w:val="nil"/>
            </w:tcBorders>
            <w:shd w:val="clear" w:color="auto" w:fill="auto"/>
          </w:tcPr>
          <w:p w:rsidR="008276E3" w:rsidRPr="00183E03" w:rsidRDefault="008276E3" w:rsidP="00C54F19">
            <w:pPr>
              <w:pStyle w:val="ListParagraph"/>
              <w:numPr>
                <w:ilvl w:val="0"/>
                <w:numId w:val="35"/>
              </w:numPr>
              <w:tabs>
                <w:tab w:val="clear" w:pos="720"/>
                <w:tab w:val="num" w:pos="318"/>
              </w:tabs>
              <w:ind w:left="318" w:hanging="318"/>
              <w:jc w:val="both"/>
              <w:rPr>
                <w:rFonts w:ascii="Verdana" w:hAnsi="Verdana" w:cstheme="majorBidi"/>
                <w:sz w:val="18"/>
                <w:szCs w:val="18"/>
              </w:rPr>
            </w:pPr>
            <w:r w:rsidRPr="00183E03">
              <w:rPr>
                <w:rFonts w:ascii="Verdana" w:hAnsi="Verdana" w:cstheme="majorBidi"/>
                <w:sz w:val="18"/>
                <w:szCs w:val="18"/>
              </w:rPr>
              <w:t xml:space="preserve">You may use your </w:t>
            </w:r>
            <w:r w:rsidRPr="00183E03">
              <w:rPr>
                <w:rFonts w:ascii="Verdana" w:hAnsi="Verdana" w:cstheme="majorBidi"/>
                <w:b/>
                <w:bCs/>
                <w:sz w:val="18"/>
                <w:szCs w:val="18"/>
              </w:rPr>
              <w:t>laptops</w:t>
            </w:r>
            <w:r w:rsidRPr="00183E03">
              <w:rPr>
                <w:rFonts w:ascii="Verdana" w:hAnsi="Verdana" w:cstheme="majorBidi"/>
                <w:sz w:val="18"/>
                <w:szCs w:val="18"/>
              </w:rPr>
              <w:t xml:space="preserve"> in the class for class related work. Do not use your laptop for non-class related work or in any manner that will be distracting to other students or the instructor</w:t>
            </w:r>
            <w:r w:rsidRPr="00183E03">
              <w:rPr>
                <w:rFonts w:ascii="Verdana" w:hAnsi="Verdana" w:cs="Times New Roman"/>
                <w:sz w:val="18"/>
                <w:szCs w:val="18"/>
                <w:rtl/>
              </w:rPr>
              <w:t>.</w:t>
            </w:r>
          </w:p>
          <w:p w:rsidR="008276E3" w:rsidRPr="00183E03" w:rsidRDefault="008276E3" w:rsidP="00C54F19">
            <w:pPr>
              <w:pStyle w:val="ListParagraph"/>
              <w:ind w:left="426"/>
              <w:jc w:val="both"/>
              <w:rPr>
                <w:rFonts w:ascii="Verdana" w:hAnsi="Verdana" w:cstheme="majorBidi"/>
                <w:sz w:val="18"/>
                <w:szCs w:val="18"/>
                <w:rtl/>
              </w:rPr>
            </w:pPr>
          </w:p>
          <w:p w:rsidR="00485646" w:rsidRDefault="008276E3" w:rsidP="00485646">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Use of </w:t>
            </w:r>
            <w:r w:rsidRPr="00183E03">
              <w:rPr>
                <w:rFonts w:ascii="Verdana" w:hAnsi="Verdana" w:cstheme="majorBidi"/>
                <w:b/>
                <w:bCs/>
                <w:sz w:val="18"/>
                <w:szCs w:val="18"/>
              </w:rPr>
              <w:t>cell phones</w:t>
            </w:r>
            <w:r w:rsidRPr="00183E03">
              <w:rPr>
                <w:rFonts w:ascii="Verdana" w:hAnsi="Verdana" w:cstheme="majorBidi"/>
                <w:sz w:val="18"/>
                <w:szCs w:val="18"/>
              </w:rPr>
              <w:t xml:space="preserve"> in class is not permitted.</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sz w:val="18"/>
                <w:szCs w:val="18"/>
              </w:rPr>
            </w:pPr>
            <w:r w:rsidRPr="00183E03">
              <w:rPr>
                <w:rFonts w:ascii="Verdana" w:hAnsi="Verdana" w:cstheme="majorBidi"/>
                <w:sz w:val="18"/>
                <w:szCs w:val="18"/>
              </w:rPr>
              <w:t xml:space="preserve">Students are advised to frequently refer to the </w:t>
            </w:r>
            <w:r w:rsidRPr="00183E03">
              <w:rPr>
                <w:rFonts w:ascii="Verdana" w:hAnsi="Verdana" w:cstheme="majorBidi"/>
                <w:b/>
                <w:bCs/>
                <w:sz w:val="18"/>
                <w:szCs w:val="18"/>
              </w:rPr>
              <w:t>Studen</w:t>
            </w:r>
            <w:r w:rsidR="007E5C92" w:rsidRPr="00183E03">
              <w:rPr>
                <w:rFonts w:ascii="Verdana" w:hAnsi="Verdana" w:cstheme="majorBidi"/>
                <w:b/>
                <w:bCs/>
                <w:sz w:val="18"/>
                <w:szCs w:val="18"/>
              </w:rPr>
              <w:t>t Handbook of North Sout</w:t>
            </w:r>
            <w:r w:rsidR="00657390" w:rsidRPr="00183E03">
              <w:rPr>
                <w:rFonts w:ascii="Verdana" w:hAnsi="Verdana" w:cstheme="majorBidi"/>
                <w:b/>
                <w:bCs/>
                <w:sz w:val="18"/>
                <w:szCs w:val="18"/>
              </w:rPr>
              <w:t>h</w:t>
            </w:r>
            <w:r w:rsidRPr="00183E03">
              <w:rPr>
                <w:rFonts w:ascii="Verdana" w:hAnsi="Verdana" w:cstheme="majorBidi"/>
                <w:b/>
                <w:bCs/>
                <w:sz w:val="18"/>
                <w:szCs w:val="18"/>
              </w:rPr>
              <w:t xml:space="preserve"> University</w:t>
            </w:r>
            <w:r w:rsidRPr="00183E03">
              <w:rPr>
                <w:rFonts w:ascii="Verdana" w:hAnsi="Verdana" w:cstheme="majorBidi"/>
                <w:sz w:val="18"/>
                <w:szCs w:val="18"/>
              </w:rPr>
              <w:t>on the following link:</w:t>
            </w:r>
          </w:p>
          <w:p w:rsidR="008276E3" w:rsidRPr="00183E03" w:rsidRDefault="008276E3" w:rsidP="00C54F19">
            <w:pPr>
              <w:jc w:val="both"/>
              <w:rPr>
                <w:rFonts w:ascii="Verdana" w:hAnsi="Verdana" w:cstheme="majorBidi"/>
                <w:sz w:val="18"/>
                <w:szCs w:val="18"/>
              </w:rPr>
            </w:pPr>
          </w:p>
          <w:p w:rsidR="008276E3" w:rsidRPr="00183E03" w:rsidRDefault="008276E3" w:rsidP="00C54F19">
            <w:pPr>
              <w:pStyle w:val="ListParagraph"/>
              <w:numPr>
                <w:ilvl w:val="0"/>
                <w:numId w:val="35"/>
              </w:numPr>
              <w:tabs>
                <w:tab w:val="clear" w:pos="720"/>
                <w:tab w:val="num" w:pos="426"/>
              </w:tabs>
              <w:ind w:left="318" w:hanging="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C0117A" w:rsidRDefault="007E5C92" w:rsidP="00C54F19">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bl>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4"/>
        <w:gridCol w:w="5175"/>
      </w:tblGrid>
      <w:tr w:rsidR="00B93DF3" w:rsidRPr="00B14574" w:rsidTr="00CF4A81">
        <w:tc>
          <w:tcPr>
            <w:tcW w:w="5174" w:type="dxa"/>
            <w:tcBorders>
              <w:left w:val="nil"/>
              <w:right w:val="nil"/>
            </w:tcBorders>
            <w:shd w:val="clear" w:color="auto" w:fill="D9D9D9"/>
          </w:tcPr>
          <w:p w:rsidR="00B93DF3" w:rsidRPr="00B14574" w:rsidRDefault="00B93DF3" w:rsidP="00CF4A81">
            <w:pPr>
              <w:spacing w:after="0" w:line="240" w:lineRule="auto"/>
              <w:jc w:val="both"/>
              <w:rPr>
                <w:rFonts w:ascii="Verdana" w:hAnsi="Verdana" w:cs="Verdana"/>
                <w:b/>
                <w:bCs/>
                <w:smallCaps/>
                <w:sz w:val="20"/>
                <w:szCs w:val="20"/>
                <w:lang w:val="en-GB"/>
              </w:rPr>
            </w:pPr>
            <w:r>
              <w:rPr>
                <w:rFonts w:ascii="Verdana" w:hAnsi="Verdana" w:cs="Verdana"/>
                <w:b/>
                <w:bCs/>
                <w:smallCaps/>
                <w:sz w:val="20"/>
                <w:szCs w:val="20"/>
                <w:lang w:val="en-GB"/>
              </w:rPr>
              <w:t>Quizzes</w:t>
            </w:r>
            <w:r w:rsidRPr="00B14574">
              <w:rPr>
                <w:rFonts w:ascii="Verdana" w:hAnsi="Verdana" w:cs="Verdana"/>
                <w:b/>
                <w:bCs/>
                <w:smallCaps/>
                <w:sz w:val="20"/>
                <w:szCs w:val="20"/>
                <w:lang w:val="en-GB"/>
              </w:rPr>
              <w:t xml:space="preserve"> Policy </w:t>
            </w:r>
          </w:p>
          <w:p w:rsidR="00B93DF3" w:rsidRPr="00B14574" w:rsidRDefault="00B93DF3" w:rsidP="00CF4A81">
            <w:pPr>
              <w:spacing w:after="0" w:line="240" w:lineRule="auto"/>
              <w:jc w:val="both"/>
              <w:rPr>
                <w:rFonts w:ascii="Verdana" w:hAnsi="Verdana" w:cs="Verdana"/>
                <w:b/>
                <w:bCs/>
                <w:smallCaps/>
                <w:sz w:val="20"/>
                <w:szCs w:val="20"/>
                <w:lang w:val="en-GB"/>
              </w:rPr>
            </w:pPr>
          </w:p>
        </w:tc>
        <w:tc>
          <w:tcPr>
            <w:tcW w:w="5175" w:type="dxa"/>
            <w:tcBorders>
              <w:left w:val="nil"/>
              <w:right w:val="nil"/>
            </w:tcBorders>
            <w:shd w:val="clear" w:color="auto" w:fill="D9D9D9"/>
          </w:tcPr>
          <w:p w:rsidR="00B93DF3" w:rsidRPr="00B14574" w:rsidRDefault="00B93DF3" w:rsidP="00CF4A81">
            <w:pPr>
              <w:pStyle w:val="Title"/>
              <w:widowControl/>
              <w:spacing w:after="0" w:line="240" w:lineRule="auto"/>
              <w:jc w:val="right"/>
              <w:rPr>
                <w:rFonts w:ascii="Verdana" w:hAnsi="Verdana" w:cs="Verdana"/>
                <w:sz w:val="22"/>
                <w:szCs w:val="22"/>
                <w:u w:val="none"/>
                <w:lang w:val="en-US"/>
              </w:rPr>
            </w:pPr>
          </w:p>
        </w:tc>
      </w:tr>
      <w:tr w:rsidR="00B93DF3" w:rsidRPr="00B14574" w:rsidTr="00CF4A81">
        <w:trPr>
          <w:trHeight w:val="1112"/>
        </w:trPr>
        <w:tc>
          <w:tcPr>
            <w:tcW w:w="10349" w:type="dxa"/>
            <w:gridSpan w:val="2"/>
            <w:tcBorders>
              <w:top w:val="nil"/>
              <w:left w:val="nil"/>
              <w:bottom w:val="nil"/>
              <w:right w:val="nil"/>
            </w:tcBorders>
          </w:tcPr>
          <w:p w:rsidR="00B93DF3" w:rsidRDefault="00B93DF3" w:rsidP="00CF4A81">
            <w:pPr>
              <w:spacing w:after="0" w:line="240" w:lineRule="auto"/>
              <w:jc w:val="both"/>
              <w:rPr>
                <w:rFonts w:ascii="Verdana" w:hAnsi="Verdana" w:cs="Verdana"/>
                <w:sz w:val="18"/>
                <w:szCs w:val="18"/>
              </w:rPr>
            </w:pPr>
          </w:p>
          <w:p w:rsidR="00B93DF3" w:rsidRPr="00B14574" w:rsidRDefault="00B93DF3" w:rsidP="00B93DF3">
            <w:pPr>
              <w:spacing w:after="0" w:line="240" w:lineRule="auto"/>
              <w:jc w:val="both"/>
              <w:rPr>
                <w:rFonts w:ascii="Verdana" w:hAnsi="Verdana" w:cs="Verdana"/>
                <w:sz w:val="18"/>
                <w:szCs w:val="18"/>
              </w:rPr>
            </w:pPr>
            <w:r>
              <w:rPr>
                <w:rFonts w:eastAsia="TimesNewRomanPSMT" w:cs="TimesNewRomanPSMT"/>
              </w:rPr>
              <w:t xml:space="preserve">The course </w:t>
            </w:r>
            <w:r>
              <w:rPr>
                <w:rFonts w:ascii="Calibri" w:eastAsia="TimesNewRomanPSMT" w:hAnsi="Calibri" w:cs="TimesNewRomanPSMT"/>
              </w:rPr>
              <w:t>cons</w:t>
            </w:r>
            <w:r>
              <w:rPr>
                <w:rFonts w:eastAsia="TimesNewRomanPSMT" w:cs="TimesNewRomanPSMT"/>
              </w:rPr>
              <w:t xml:space="preserve">ists of a number of quizzes. </w:t>
            </w:r>
            <w:r>
              <w:rPr>
                <w:rFonts w:ascii="Verdana" w:hAnsi="Verdana"/>
                <w:sz w:val="18"/>
                <w:szCs w:val="18"/>
              </w:rPr>
              <w:t>You are expected to attend all quizzes. The number of and criteria by which quizzes count towards your final grade will be at the discretion of the instructor. There will be no make up for any quiz.</w:t>
            </w:r>
          </w:p>
        </w:tc>
      </w:tr>
    </w:tbl>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485646" w:rsidRDefault="00485646" w:rsidP="005156E6">
            <w:pPr>
              <w:jc w:val="both"/>
              <w:rPr>
                <w:rFonts w:ascii="Verdana" w:hAnsi="Verdana" w:cs="Verdana"/>
                <w:sz w:val="18"/>
                <w:szCs w:val="18"/>
              </w:rPr>
            </w:pPr>
          </w:p>
          <w:p w:rsidR="00EC3E56" w:rsidRPr="00EC3E56" w:rsidRDefault="00785D82" w:rsidP="00F33FCA">
            <w:pPr>
              <w:jc w:val="both"/>
              <w:rPr>
                <w:rFonts w:ascii="Verdana" w:hAnsi="Verdana" w:cstheme="majorBidi"/>
                <w:sz w:val="18"/>
                <w:szCs w:val="18"/>
              </w:rPr>
            </w:pPr>
            <w:r>
              <w:rPr>
                <w:rFonts w:ascii="Verdana" w:hAnsi="Verdana"/>
                <w:sz w:val="18"/>
                <w:szCs w:val="18"/>
              </w:rPr>
              <w:t>Will be discussed in class</w:t>
            </w: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4C4290">
        <w:tblPrEx>
          <w:tblBorders>
            <w:left w:val="none" w:sz="0" w:space="0" w:color="auto"/>
            <w:bottom w:val="none" w:sz="0" w:space="0" w:color="auto"/>
            <w:right w:val="none" w:sz="0" w:space="0" w:color="auto"/>
          </w:tblBorders>
        </w:tblPrEx>
        <w:trPr>
          <w:trHeight w:val="1494"/>
        </w:trPr>
        <w:tc>
          <w:tcPr>
            <w:tcW w:w="10364" w:type="dxa"/>
            <w:tcBorders>
              <w:right w:val="nil"/>
            </w:tcBorders>
            <w:shd w:val="clear" w:color="auto" w:fill="auto"/>
          </w:tcPr>
          <w:p w:rsidR="00785D82" w:rsidRPr="00E84AA3" w:rsidRDefault="00785D82" w:rsidP="00785D82">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785D82" w:rsidRDefault="00785D82" w:rsidP="009F662E">
            <w:pPr>
              <w:tabs>
                <w:tab w:val="left" w:pos="1528"/>
              </w:tabs>
              <w:rPr>
                <w:rFonts w:ascii="Verdana" w:eastAsia="Calibri" w:hAnsi="Verdana" w:cs="Times New Roman"/>
                <w:sz w:val="18"/>
                <w:szCs w:val="18"/>
              </w:rPr>
            </w:pPr>
          </w:p>
          <w:p w:rsidR="00785D82" w:rsidRPr="009F662E" w:rsidRDefault="00785D82" w:rsidP="009F662E">
            <w:pPr>
              <w:tabs>
                <w:tab w:val="left" w:pos="1528"/>
              </w:tabs>
              <w:rPr>
                <w:rFonts w:ascii="Verdana" w:hAnsi="Verdana" w:cstheme="majorBidi"/>
                <w:sz w:val="16"/>
                <w:szCs w:val="16"/>
              </w:rPr>
            </w:pPr>
            <w:r w:rsidRPr="00E84AA3">
              <w:rPr>
                <w:rFonts w:ascii="Verdana" w:hAnsi="Verdana" w:cstheme="majorBidi"/>
                <w:sz w:val="18"/>
                <w:szCs w:val="18"/>
              </w:rPr>
              <w:t xml:space="preserve">Cell phones are </w:t>
            </w:r>
            <w:r w:rsidRPr="003B7FF5">
              <w:rPr>
                <w:rFonts w:ascii="Verdana" w:hAnsi="Verdana" w:cstheme="majorBidi"/>
                <w:b/>
                <w:sz w:val="18"/>
                <w:szCs w:val="18"/>
              </w:rPr>
              <w:t>prohibited</w:t>
            </w:r>
            <w:r w:rsidRPr="00E84AA3">
              <w:rPr>
                <w:rFonts w:ascii="Verdana" w:hAnsi="Verdana" w:cstheme="majorBidi"/>
                <w:sz w:val="18"/>
                <w:szCs w:val="18"/>
              </w:rPr>
              <w:t xml:space="preserve"> in exam session</w:t>
            </w:r>
            <w:r>
              <w:rPr>
                <w:rFonts w:ascii="Verdana" w:hAnsi="Verdana" w:cstheme="majorBidi"/>
                <w:sz w:val="18"/>
                <w:szCs w:val="18"/>
              </w:rPr>
              <w:t>s. Students must bring valid North South University identification card with them on the day of the exam.</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Default="008276E3" w:rsidP="00D606A5">
            <w:pPr>
              <w:spacing w:line="360" w:lineRule="auto"/>
              <w:jc w:val="both"/>
              <w:rPr>
                <w:rFonts w:ascii="Verdana" w:hAnsi="Verdana" w:cstheme="majorBidi"/>
                <w:sz w:val="18"/>
                <w:szCs w:val="18"/>
              </w:rPr>
            </w:pPr>
          </w:p>
          <w:p w:rsidR="00485646" w:rsidRDefault="00485646" w:rsidP="00485646">
            <w:pPr>
              <w:jc w:val="both"/>
              <w:rPr>
                <w:rFonts w:ascii="Verdana" w:hAnsi="Verdana" w:cs="Verdana"/>
                <w:sz w:val="18"/>
                <w:szCs w:val="18"/>
              </w:rPr>
            </w:pPr>
            <w:r w:rsidRPr="00B14574">
              <w:rPr>
                <w:rFonts w:ascii="Verdana" w:hAnsi="Verdana" w:cs="Verdana"/>
                <w:sz w:val="18"/>
                <w:szCs w:val="18"/>
              </w:rPr>
              <w:t xml:space="preserve">Students are required and expected to attend all classes and participate in class discussions.  North South University mandates to fail students who are absent 25% or more from their classes, even if such absences are excusable. </w:t>
            </w:r>
          </w:p>
          <w:p w:rsidR="00485646" w:rsidRPr="00B14574" w:rsidRDefault="00485646" w:rsidP="00485646">
            <w:pPr>
              <w:jc w:val="both"/>
              <w:rPr>
                <w:rFonts w:ascii="Verdana" w:hAnsi="Verdana" w:cs="Verdana"/>
                <w:sz w:val="18"/>
                <w:szCs w:val="18"/>
              </w:rPr>
            </w:pPr>
          </w:p>
          <w:p w:rsidR="00485646" w:rsidRPr="00E84AA3" w:rsidRDefault="00485646" w:rsidP="00485646">
            <w:pPr>
              <w:spacing w:line="360" w:lineRule="auto"/>
              <w:jc w:val="both"/>
              <w:rPr>
                <w:rFonts w:ascii="Verdana" w:hAnsi="Verdana" w:cstheme="majorBidi"/>
                <w:sz w:val="18"/>
                <w:szCs w:val="18"/>
              </w:rPr>
            </w:pPr>
            <w:r w:rsidRPr="00B14574">
              <w:rPr>
                <w:rFonts w:ascii="Verdana" w:hAnsi="Verdana" w:cs="Verdana"/>
                <w:sz w:val="18"/>
                <w:szCs w:val="18"/>
              </w:rPr>
              <w:t>Please Refer to NSU Student Handbook, Section: “Study Principles and Policies”</w:t>
            </w:r>
          </w:p>
          <w:p w:rsidR="008276E3" w:rsidRPr="00B540C8" w:rsidRDefault="008276E3" w:rsidP="00C7253B">
            <w:pPr>
              <w:rPr>
                <w:rFonts w:ascii="Verdana" w:hAnsi="Verdana" w:cstheme="majorBidi"/>
                <w:sz w:val="16"/>
                <w:szCs w:val="16"/>
              </w:rPr>
            </w:pP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485646" w:rsidRPr="007460CE" w:rsidRDefault="00485646"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4C4290" w:rsidP="00297056">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Announcements in </w:t>
            </w:r>
            <w:r>
              <w:rPr>
                <w:rFonts w:ascii="Verdana" w:hAnsi="Verdana" w:cstheme="majorBidi"/>
                <w:sz w:val="18"/>
                <w:szCs w:val="18"/>
              </w:rPr>
              <w:t xml:space="preserve">the </w:t>
            </w:r>
            <w:r w:rsidRPr="00297056">
              <w:rPr>
                <w:rFonts w:ascii="Verdana" w:hAnsi="Verdana" w:cstheme="majorBidi"/>
                <w:sz w:val="18"/>
                <w:szCs w:val="18"/>
              </w:rPr>
              <w:t>blackboard will override any statement made here or in any other handouts. It is the student’s responsibility t</w:t>
            </w:r>
            <w:r>
              <w:rPr>
                <w:rFonts w:ascii="Verdana" w:hAnsi="Verdana" w:cstheme="majorBidi"/>
                <w:sz w:val="18"/>
                <w:szCs w:val="18"/>
              </w:rPr>
              <w:t xml:space="preserve">o be aware of any </w:t>
            </w:r>
            <w:r w:rsidRPr="00297056">
              <w:rPr>
                <w:rFonts w:ascii="Verdana" w:hAnsi="Verdana" w:cstheme="majorBidi"/>
                <w:sz w:val="18"/>
                <w:szCs w:val="18"/>
              </w:rPr>
              <w:t>a</w:t>
            </w:r>
            <w:r>
              <w:rPr>
                <w:rFonts w:ascii="Verdana" w:hAnsi="Verdana" w:cstheme="majorBidi"/>
                <w:sz w:val="18"/>
                <w:szCs w:val="18"/>
              </w:rPr>
              <w:t>nnouncements made via Website</w:t>
            </w:r>
            <w:r w:rsidRPr="00297056">
              <w:rPr>
                <w:rFonts w:ascii="Verdana" w:hAnsi="Verdana" w:cstheme="majorBidi"/>
                <w:sz w:val="18"/>
                <w:szCs w:val="18"/>
              </w:rPr>
              <w:t>.</w:t>
            </w:r>
          </w:p>
        </w:tc>
      </w:tr>
    </w:tbl>
    <w:p w:rsidR="00547C67" w:rsidRDefault="00547C67" w:rsidP="00547C67">
      <w:pPr>
        <w:spacing w:after="0" w:line="240" w:lineRule="auto"/>
        <w:rPr>
          <w:rFonts w:ascii="Verdana" w:hAnsi="Verdana" w:cstheme="majorBidi"/>
          <w:sz w:val="18"/>
          <w:szCs w:val="18"/>
        </w:rPr>
      </w:pPr>
    </w:p>
    <w:p w:rsidR="004C4290" w:rsidRPr="007460CE" w:rsidRDefault="004C4290"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03253" w:rsidP="00C7253B">
            <w:pPr>
              <w:jc w:val="both"/>
              <w:rPr>
                <w:rFonts w:ascii="Verdana" w:hAnsi="Verdana" w:cstheme="majorBidi"/>
                <w:sz w:val="18"/>
                <w:szCs w:val="18"/>
              </w:rPr>
            </w:pPr>
            <w:r>
              <w:rPr>
                <w:rFonts w:ascii="Verdana" w:hAnsi="Verdana" w:cstheme="majorBidi"/>
                <w:sz w:val="18"/>
                <w:szCs w:val="18"/>
              </w:rPr>
              <w:t>North South Universitywill</w:t>
            </w:r>
            <w:r w:rsidR="00164A75"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Pr>
                <w:rFonts w:ascii="Verdana" w:hAnsi="Verdana" w:cstheme="majorBidi"/>
                <w:sz w:val="18"/>
                <w:szCs w:val="18"/>
              </w:rPr>
              <w:t>re encouraged to contact their i</w:t>
            </w:r>
            <w:r w:rsidR="00164A75" w:rsidRPr="00103253">
              <w:rPr>
                <w:rFonts w:ascii="Verdana" w:hAnsi="Verdana" w:cstheme="majorBidi"/>
                <w:sz w:val="18"/>
                <w:szCs w:val="18"/>
              </w:rPr>
              <w:t>nstructor</w:t>
            </w:r>
            <w:r>
              <w:rPr>
                <w:rFonts w:ascii="Verdana" w:hAnsi="Verdana" w:cstheme="majorBidi"/>
                <w:sz w:val="18"/>
                <w:szCs w:val="18"/>
              </w:rPr>
              <w:t xml:space="preserve">sto ensure that their </w:t>
            </w:r>
            <w:r w:rsidR="00164A75" w:rsidRPr="00103253">
              <w:rPr>
                <w:rFonts w:ascii="Verdana" w:hAnsi="Verdana" w:cstheme="majorBidi"/>
                <w:sz w:val="18"/>
                <w:szCs w:val="18"/>
              </w:rPr>
              <w:t>needs are met. The University through its Special Need section will exert all efforts</w:t>
            </w:r>
            <w:r>
              <w:rPr>
                <w:rFonts w:ascii="Verdana" w:hAnsi="Verdana" w:cstheme="majorBidi"/>
                <w:sz w:val="18"/>
                <w:szCs w:val="18"/>
              </w:rPr>
              <w:t xml:space="preserve"> to accommodate special</w:t>
            </w:r>
            <w:r w:rsidR="00164A75"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W w:w="103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64"/>
      </w:tblGrid>
      <w:tr w:rsidR="00485646" w:rsidRPr="00B14574" w:rsidTr="00F92030">
        <w:tc>
          <w:tcPr>
            <w:tcW w:w="10364" w:type="dxa"/>
            <w:tcBorders>
              <w:left w:val="nil"/>
              <w:right w:val="nil"/>
            </w:tcBorders>
            <w:shd w:val="clear" w:color="auto" w:fill="D9D9D9"/>
          </w:tcPr>
          <w:p w:rsidR="00485646" w:rsidRPr="00B14574" w:rsidRDefault="00485646" w:rsidP="00F92030">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Support and Learning Resources</w:t>
            </w:r>
          </w:p>
          <w:p w:rsidR="00485646" w:rsidRPr="00B14574" w:rsidRDefault="00485646" w:rsidP="00F92030">
            <w:pPr>
              <w:pStyle w:val="Title"/>
              <w:widowControl/>
              <w:spacing w:after="0" w:line="240" w:lineRule="auto"/>
              <w:jc w:val="left"/>
              <w:rPr>
                <w:rFonts w:ascii="Verdana" w:hAnsi="Verdana" w:cs="Verdana"/>
                <w:sz w:val="20"/>
                <w:szCs w:val="20"/>
                <w:u w:val="none"/>
              </w:rPr>
            </w:pPr>
          </w:p>
        </w:tc>
      </w:tr>
      <w:tr w:rsidR="00485646" w:rsidRPr="00B14574" w:rsidTr="00F92030">
        <w:tblPrEx>
          <w:tblBorders>
            <w:left w:val="none" w:sz="0" w:space="0" w:color="auto"/>
            <w:bottom w:val="none" w:sz="0" w:space="0" w:color="auto"/>
            <w:right w:val="none" w:sz="0" w:space="0" w:color="auto"/>
          </w:tblBorders>
        </w:tblPrEx>
        <w:trPr>
          <w:trHeight w:val="3699"/>
        </w:trPr>
        <w:tc>
          <w:tcPr>
            <w:tcW w:w="10364" w:type="dxa"/>
            <w:tcBorders>
              <w:right w:val="nil"/>
            </w:tcBorders>
          </w:tcPr>
          <w:p w:rsidR="00485646" w:rsidRPr="00B14574" w:rsidRDefault="00485646" w:rsidP="00F92030">
            <w:pPr>
              <w:pStyle w:val="ListParagraph"/>
              <w:numPr>
                <w:ilvl w:val="0"/>
                <w:numId w:val="40"/>
              </w:numPr>
              <w:spacing w:after="0" w:line="240" w:lineRule="auto"/>
              <w:ind w:left="356"/>
              <w:contextualSpacing w:val="0"/>
              <w:jc w:val="both"/>
              <w:rPr>
                <w:rFonts w:ascii="Times New Roman" w:hAnsi="Times New Roman" w:cs="Times New Roman"/>
                <w:sz w:val="18"/>
                <w:szCs w:val="18"/>
              </w:rPr>
            </w:pPr>
            <w:r w:rsidRPr="00B14574">
              <w:rPr>
                <w:rFonts w:ascii="Verdana" w:hAnsi="Verdana" w:cs="Verdana"/>
                <w:sz w:val="18"/>
                <w:szCs w:val="18"/>
              </w:rPr>
              <w:t>SOB-Learning Center:</w:t>
            </w:r>
          </w:p>
          <w:p w:rsidR="00485646" w:rsidRPr="00B14574" w:rsidRDefault="00485646" w:rsidP="00F92030">
            <w:pPr>
              <w:pStyle w:val="ListParagraph"/>
              <w:numPr>
                <w:ilvl w:val="0"/>
                <w:numId w:val="40"/>
              </w:numPr>
              <w:spacing w:after="0" w:line="240" w:lineRule="auto"/>
              <w:ind w:left="356"/>
              <w:contextualSpacing w:val="0"/>
              <w:jc w:val="both"/>
              <w:rPr>
                <w:rFonts w:ascii="Verdana" w:hAnsi="Verdana" w:cs="Verdana"/>
                <w:sz w:val="18"/>
                <w:szCs w:val="18"/>
              </w:rPr>
            </w:pPr>
            <w:r w:rsidRPr="00B14574">
              <w:rPr>
                <w:rFonts w:ascii="Verdana" w:hAnsi="Verdana" w:cs="Verdana"/>
                <w:sz w:val="18"/>
                <w:szCs w:val="18"/>
              </w:rPr>
              <w:t>The University Student Learning Support Center (SLSC): These centers provide academic support services to students at NSU.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485646" w:rsidRPr="00B14574" w:rsidRDefault="00485646" w:rsidP="00F92030">
            <w:pPr>
              <w:spacing w:after="0" w:line="240" w:lineRule="auto"/>
              <w:jc w:val="both"/>
              <w:rPr>
                <w:rFonts w:ascii="Verdana" w:hAnsi="Verdana" w:cs="Verdana"/>
                <w:sz w:val="18"/>
                <w:szCs w:val="18"/>
              </w:rPr>
            </w:pP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Students Learning &amp; Support Center (SLSC)</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Tel: </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Fax: </w:t>
            </w:r>
          </w:p>
          <w:p w:rsidR="00485646" w:rsidRPr="00B14574"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 xml:space="preserve">Location: </w:t>
            </w:r>
          </w:p>
          <w:p w:rsidR="00485646" w:rsidRPr="00B14574" w:rsidRDefault="00485646" w:rsidP="00F92030">
            <w:pPr>
              <w:spacing w:after="0" w:line="240" w:lineRule="auto"/>
              <w:jc w:val="both"/>
              <w:rPr>
                <w:rFonts w:ascii="Verdana" w:hAnsi="Verdana" w:cs="Verdana"/>
                <w:sz w:val="18"/>
                <w:szCs w:val="18"/>
                <w:lang w:val="fr-MC"/>
              </w:rPr>
            </w:pPr>
            <w:r w:rsidRPr="00B14574">
              <w:rPr>
                <w:rFonts w:ascii="Verdana" w:hAnsi="Verdana" w:cs="Verdana"/>
                <w:sz w:val="18"/>
                <w:szCs w:val="18"/>
                <w:lang w:val="fr-MC"/>
              </w:rPr>
              <w:t xml:space="preserve">E-mail: </w:t>
            </w:r>
          </w:p>
          <w:p w:rsidR="00485646" w:rsidRPr="00B14574" w:rsidRDefault="00485646" w:rsidP="00F92030">
            <w:pPr>
              <w:spacing w:after="0" w:line="240" w:lineRule="auto"/>
              <w:rPr>
                <w:rFonts w:ascii="Verdana" w:hAnsi="Verdana" w:cs="Verdana"/>
                <w:sz w:val="18"/>
                <w:szCs w:val="18"/>
                <w:lang w:val="fr-MC"/>
              </w:rPr>
            </w:pPr>
          </w:p>
          <w:p w:rsidR="00485646" w:rsidRPr="00B14574" w:rsidRDefault="00485646" w:rsidP="00F92030">
            <w:pPr>
              <w:spacing w:after="0" w:line="240" w:lineRule="auto"/>
              <w:rPr>
                <w:rFonts w:ascii="Times New Roman" w:hAnsi="Times New Roman" w:cs="Times New Roman"/>
                <w:sz w:val="16"/>
                <w:szCs w:val="16"/>
                <w:rtl/>
                <w:lang w:bidi="ar-QA"/>
              </w:rPr>
            </w:pPr>
            <w:r w:rsidRPr="00B14574">
              <w:rPr>
                <w:rFonts w:ascii="Verdana" w:hAnsi="Verdana" w:cs="Verdana"/>
                <w:sz w:val="18"/>
                <w:szCs w:val="18"/>
              </w:rPr>
              <w:t>Please Refer to NSU Student Handbook, Section: “Student Leaning Support Center”</w:t>
            </w:r>
          </w:p>
        </w:tc>
      </w:tr>
      <w:tr w:rsidR="00485646" w:rsidRPr="00B14574" w:rsidTr="00F92030">
        <w:tc>
          <w:tcPr>
            <w:tcW w:w="10364" w:type="dxa"/>
            <w:tcBorders>
              <w:left w:val="nil"/>
              <w:right w:val="nil"/>
            </w:tcBorders>
            <w:shd w:val="clear" w:color="auto" w:fill="D9D9D9"/>
          </w:tcPr>
          <w:p w:rsidR="00485646" w:rsidRPr="00B14574" w:rsidRDefault="00485646" w:rsidP="00F92030">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Students Complaints Policy</w:t>
            </w:r>
          </w:p>
          <w:p w:rsidR="00485646" w:rsidRPr="00B14574" w:rsidRDefault="00485646" w:rsidP="00F92030">
            <w:pPr>
              <w:pStyle w:val="Title"/>
              <w:widowControl/>
              <w:spacing w:after="0" w:line="240" w:lineRule="auto"/>
              <w:jc w:val="left"/>
              <w:rPr>
                <w:rFonts w:ascii="Verdana" w:hAnsi="Verdana" w:cs="Verdana"/>
                <w:sz w:val="20"/>
                <w:szCs w:val="20"/>
                <w:u w:val="none"/>
              </w:rPr>
            </w:pPr>
          </w:p>
        </w:tc>
      </w:tr>
      <w:tr w:rsidR="00485646" w:rsidRPr="00B14574" w:rsidTr="00F92030">
        <w:tblPrEx>
          <w:tblBorders>
            <w:left w:val="none" w:sz="0" w:space="0" w:color="auto"/>
            <w:bottom w:val="none" w:sz="0" w:space="0" w:color="auto"/>
            <w:right w:val="none" w:sz="0" w:space="0" w:color="auto"/>
          </w:tblBorders>
        </w:tblPrEx>
        <w:trPr>
          <w:trHeight w:val="70"/>
        </w:trPr>
        <w:tc>
          <w:tcPr>
            <w:tcW w:w="10364" w:type="dxa"/>
            <w:tcBorders>
              <w:right w:val="nil"/>
            </w:tcBorders>
          </w:tcPr>
          <w:p w:rsidR="00485646" w:rsidRDefault="00485646" w:rsidP="00F92030">
            <w:pPr>
              <w:spacing w:after="0" w:line="240" w:lineRule="auto"/>
              <w:jc w:val="both"/>
              <w:rPr>
                <w:rFonts w:ascii="Verdana" w:hAnsi="Verdana" w:cs="Verdana"/>
                <w:sz w:val="18"/>
                <w:szCs w:val="18"/>
              </w:rPr>
            </w:pPr>
            <w:r w:rsidRPr="00B14574">
              <w:rPr>
                <w:rFonts w:ascii="Verdana" w:hAnsi="Verdana" w:cs="Verdana"/>
                <w:sz w:val="18"/>
                <w:szCs w:val="18"/>
              </w:rPr>
              <w:t>Students at North South University have the right to pursue complaints related to faculty, staff, and other students.  The nature of the complaints may be either academic or non-academic.  For more information about the policy and processes related to this policy, you may refer to the students’ handbook. </w:t>
            </w: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Default="004C4290" w:rsidP="00F92030">
            <w:pPr>
              <w:spacing w:after="0" w:line="240" w:lineRule="auto"/>
              <w:jc w:val="both"/>
              <w:rPr>
                <w:rFonts w:ascii="Verdana" w:hAnsi="Verdana" w:cs="Verdana"/>
                <w:sz w:val="18"/>
                <w:szCs w:val="18"/>
              </w:rPr>
            </w:pPr>
          </w:p>
          <w:p w:rsidR="004C4290" w:rsidRPr="00B14574" w:rsidRDefault="004C4290" w:rsidP="00F92030">
            <w:pPr>
              <w:spacing w:after="0" w:line="240" w:lineRule="auto"/>
              <w:jc w:val="both"/>
              <w:rPr>
                <w:rFonts w:ascii="Verdana" w:hAnsi="Verdana" w:cs="Verdana"/>
                <w:sz w:val="18"/>
                <w:szCs w:val="18"/>
              </w:rPr>
            </w:pPr>
          </w:p>
        </w:tc>
      </w:tr>
    </w:tbl>
    <w:p w:rsidR="00547C67" w:rsidRDefault="00547C67" w:rsidP="00396249">
      <w:pPr>
        <w:spacing w:after="0" w:line="240" w:lineRule="auto"/>
        <w:rPr>
          <w:rFonts w:ascii="Verdana" w:hAnsi="Verdana" w:cstheme="majorBidi"/>
          <w:sz w:val="18"/>
          <w:szCs w:val="18"/>
        </w:rPr>
      </w:pPr>
    </w:p>
    <w:p w:rsidR="008B7CE5" w:rsidRDefault="008B7CE5" w:rsidP="00396249">
      <w:pPr>
        <w:spacing w:after="0" w:line="240" w:lineRule="auto"/>
        <w:rPr>
          <w:rFonts w:ascii="Verdana" w:hAnsi="Verdana" w:cstheme="majorBidi"/>
          <w:sz w:val="18"/>
          <w:szCs w:val="18"/>
        </w:rPr>
      </w:pPr>
    </w:p>
    <w:p w:rsidR="008B7CE5" w:rsidRDefault="008B7CE5"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2A46CC" w:rsidP="00F4616A">
            <w:pPr>
              <w:pStyle w:val="Title"/>
              <w:widowControl/>
              <w:bidi/>
              <w:spacing w:after="0" w:line="240" w:lineRule="auto"/>
              <w:jc w:val="left"/>
              <w:rPr>
                <w:rFonts w:ascii="Verdana" w:hAnsi="Verdana" w:cstheme="majorBidi"/>
                <w:sz w:val="22"/>
                <w:szCs w:val="22"/>
                <w:u w:val="none"/>
              </w:rPr>
            </w:pP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tblLook w:val="04A0"/>
      </w:tblPr>
      <w:tblGrid>
        <w:gridCol w:w="568"/>
        <w:gridCol w:w="5386"/>
        <w:gridCol w:w="1613"/>
        <w:gridCol w:w="2782"/>
      </w:tblGrid>
      <w:tr w:rsidR="00785D82" w:rsidRPr="007460CE" w:rsidTr="00AE4F9C">
        <w:trPr>
          <w:trHeight w:val="461"/>
        </w:trPr>
        <w:tc>
          <w:tcPr>
            <w:tcW w:w="568" w:type="dxa"/>
          </w:tcPr>
          <w:p w:rsidR="00785D82" w:rsidRPr="007460CE" w:rsidRDefault="00785D82" w:rsidP="00AE4F9C">
            <w:pPr>
              <w:rPr>
                <w:rFonts w:ascii="Verdana" w:hAnsi="Verdana" w:cstheme="majorBidi"/>
                <w:b/>
                <w:bCs/>
                <w:sz w:val="18"/>
                <w:szCs w:val="18"/>
              </w:rPr>
            </w:pPr>
            <w:r w:rsidRPr="007460CE">
              <w:rPr>
                <w:rFonts w:ascii="Verdana" w:hAnsi="Verdana" w:cstheme="majorBidi"/>
                <w:b/>
                <w:bCs/>
                <w:sz w:val="18"/>
                <w:szCs w:val="18"/>
              </w:rPr>
              <w:t>No</w:t>
            </w:r>
          </w:p>
        </w:tc>
        <w:tc>
          <w:tcPr>
            <w:tcW w:w="5386" w:type="dxa"/>
          </w:tcPr>
          <w:p w:rsidR="00785D82" w:rsidRPr="00C31BB4" w:rsidRDefault="00785D82" w:rsidP="00AE4F9C">
            <w:pPr>
              <w:bidi/>
              <w:jc w:val="center"/>
              <w:rPr>
                <w:rFonts w:ascii="Verdana" w:hAnsi="Verdana" w:cstheme="majorBidi"/>
                <w:sz w:val="20"/>
                <w:szCs w:val="20"/>
              </w:rPr>
            </w:pPr>
          </w:p>
          <w:p w:rsidR="00785D82" w:rsidRPr="007460CE" w:rsidRDefault="00785D82" w:rsidP="00AE4F9C">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tcPr>
          <w:p w:rsidR="00785D82" w:rsidRDefault="00785D82" w:rsidP="00AE4F9C">
            <w:pPr>
              <w:bidi/>
              <w:jc w:val="center"/>
              <w:rPr>
                <w:rFonts w:ascii="Verdana" w:hAnsi="Verdana" w:cstheme="majorBidi"/>
                <w:b/>
                <w:bCs/>
                <w:sz w:val="18"/>
                <w:szCs w:val="18"/>
                <w:rtl/>
                <w:lang w:bidi="ar-QA"/>
              </w:rPr>
            </w:pPr>
          </w:p>
          <w:p w:rsidR="00785D82" w:rsidRPr="007460CE" w:rsidRDefault="00785D82" w:rsidP="00AE4F9C">
            <w:pPr>
              <w:rPr>
                <w:rFonts w:ascii="Verdana" w:hAnsi="Verdana" w:cstheme="majorBidi"/>
                <w:b/>
                <w:bCs/>
                <w:sz w:val="18"/>
                <w:szCs w:val="18"/>
              </w:rPr>
            </w:pPr>
            <w:r w:rsidRPr="007460CE">
              <w:rPr>
                <w:rFonts w:ascii="Verdana" w:hAnsi="Verdana" w:cstheme="majorBidi"/>
                <w:b/>
                <w:bCs/>
                <w:sz w:val="18"/>
                <w:szCs w:val="18"/>
              </w:rPr>
              <w:t>Date</w:t>
            </w:r>
            <w:r>
              <w:rPr>
                <w:rFonts w:ascii="Verdana" w:hAnsi="Verdana" w:cstheme="majorBidi"/>
                <w:b/>
                <w:bCs/>
                <w:sz w:val="18"/>
                <w:szCs w:val="18"/>
              </w:rPr>
              <w:t>/week</w:t>
            </w:r>
          </w:p>
        </w:tc>
        <w:tc>
          <w:tcPr>
            <w:tcW w:w="2782" w:type="dxa"/>
          </w:tcPr>
          <w:p w:rsidR="00785D82" w:rsidRPr="007460CE" w:rsidRDefault="00785D82" w:rsidP="00AE4F9C">
            <w:pPr>
              <w:jc w:val="center"/>
              <w:rPr>
                <w:rFonts w:ascii="Verdana" w:hAnsi="Verdana" w:cstheme="majorBidi"/>
                <w:b/>
                <w:bCs/>
                <w:sz w:val="18"/>
                <w:szCs w:val="18"/>
              </w:rPr>
            </w:pPr>
            <w:r w:rsidRPr="00C31BB4">
              <w:rPr>
                <w:rFonts w:ascii="Verdana" w:hAnsi="Verdana" w:cstheme="majorBidi" w:hint="cs"/>
                <w:b/>
                <w:bCs/>
                <w:sz w:val="20"/>
                <w:szCs w:val="20"/>
                <w:rtl/>
              </w:rPr>
              <w:t>ا</w:t>
            </w:r>
            <w:r>
              <w:rPr>
                <w:rFonts w:ascii="Verdana" w:hAnsi="Verdana" w:cstheme="majorBidi"/>
                <w:b/>
                <w:bCs/>
                <w:sz w:val="18"/>
                <w:szCs w:val="18"/>
              </w:rPr>
              <w:t>Chapter/Assignment</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AB50BD" w:rsidRDefault="00785D82" w:rsidP="00AE4F9C">
            <w:pPr>
              <w:rPr>
                <w:rFonts w:ascii="Verdana" w:hAnsi="Verdana" w:cstheme="majorBidi"/>
                <w:sz w:val="18"/>
                <w:szCs w:val="18"/>
              </w:rPr>
            </w:pPr>
            <w:r>
              <w:rPr>
                <w:rFonts w:ascii="Verdana" w:hAnsi="Verdana" w:cstheme="majorBidi"/>
                <w:sz w:val="18"/>
                <w:szCs w:val="18"/>
              </w:rPr>
              <w:t xml:space="preserve">Introduction &amp; Syllabus discussion </w:t>
            </w:r>
          </w:p>
          <w:p w:rsidR="00785D82" w:rsidRPr="00AB50BD" w:rsidRDefault="00785D82" w:rsidP="00AE4F9C">
            <w:pPr>
              <w:rPr>
                <w:rFonts w:ascii="Verdana" w:hAnsi="Verdana" w:cstheme="majorBidi"/>
                <w:sz w:val="18"/>
                <w:szCs w:val="18"/>
              </w:rPr>
            </w:pP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430CC0" w:rsidRDefault="00785D82" w:rsidP="00AE4F9C">
            <w:pPr>
              <w:widowControl w:val="0"/>
              <w:rPr>
                <w:rFonts w:ascii="Verdana" w:hAnsi="Verdana"/>
                <w:sz w:val="18"/>
                <w:szCs w:val="18"/>
              </w:rPr>
            </w:pPr>
            <w:r w:rsidRPr="00430CC0">
              <w:rPr>
                <w:rFonts w:ascii="Verdana" w:hAnsi="Verdana"/>
                <w:sz w:val="18"/>
                <w:szCs w:val="18"/>
              </w:rPr>
              <w:t>Chapter 1:  Financial Accounting and Accounting Standards</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1</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9E6B52" w:rsidRDefault="00785D82" w:rsidP="00AE4F9C">
            <w:pPr>
              <w:widowControl w:val="0"/>
              <w:rPr>
                <w:rFonts w:ascii="Verdana" w:hAnsi="Verdana"/>
                <w:sz w:val="18"/>
                <w:szCs w:val="18"/>
              </w:rPr>
            </w:pPr>
            <w:r w:rsidRPr="00E315CB">
              <w:rPr>
                <w:rFonts w:ascii="Verdana" w:hAnsi="Verdana"/>
                <w:sz w:val="18"/>
                <w:szCs w:val="18"/>
              </w:rPr>
              <w:t>Chapter 2:  Conceptual Framework for Financial Reporting</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2</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9E6B52" w:rsidRDefault="00785D82" w:rsidP="00AE4F9C">
            <w:pPr>
              <w:widowControl w:val="0"/>
              <w:rPr>
                <w:rFonts w:ascii="Verdana" w:hAnsi="Verdana"/>
                <w:sz w:val="18"/>
                <w:szCs w:val="18"/>
              </w:rPr>
            </w:pPr>
            <w:r w:rsidRPr="00E315CB">
              <w:rPr>
                <w:rFonts w:ascii="Verdana" w:hAnsi="Verdana"/>
                <w:sz w:val="18"/>
                <w:szCs w:val="18"/>
              </w:rPr>
              <w:t>Chapter 3:  The Accounting Information System</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autoSpaceDE w:val="0"/>
              <w:autoSpaceDN w:val="0"/>
              <w:adjustRightInd w:val="0"/>
              <w:rPr>
                <w:rFonts w:ascii="Verdana" w:hAnsi="Verdana" w:cstheme="majorBidi"/>
                <w:sz w:val="18"/>
                <w:szCs w:val="18"/>
              </w:rPr>
            </w:pPr>
            <w:r w:rsidRPr="00DF5AB7">
              <w:rPr>
                <w:rFonts w:ascii="Verdana" w:hAnsi="Verdana"/>
                <w:sz w:val="18"/>
                <w:szCs w:val="18"/>
              </w:rPr>
              <w:t>Chapter 3</w:t>
            </w:r>
          </w:p>
        </w:tc>
      </w:tr>
      <w:tr w:rsidR="00785D82" w:rsidRPr="007460CE" w:rsidTr="00AE4F9C">
        <w:trPr>
          <w:trHeight w:val="426"/>
        </w:trPr>
        <w:tc>
          <w:tcPr>
            <w:tcW w:w="568" w:type="dxa"/>
          </w:tcPr>
          <w:p w:rsidR="00785D82" w:rsidRPr="00DF5AB7"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Pr="00DF5AB7" w:rsidRDefault="00785D82" w:rsidP="00AE4F9C">
            <w:pPr>
              <w:rPr>
                <w:rFonts w:ascii="Verdana" w:hAnsi="Verdana"/>
                <w:sz w:val="18"/>
                <w:szCs w:val="18"/>
              </w:rPr>
            </w:pPr>
          </w:p>
        </w:tc>
        <w:tc>
          <w:tcPr>
            <w:tcW w:w="1613" w:type="dxa"/>
          </w:tcPr>
          <w:p w:rsidR="00785D82" w:rsidRPr="00DF5AB7" w:rsidRDefault="00785D82" w:rsidP="00AE4F9C">
            <w:pPr>
              <w:autoSpaceDE w:val="0"/>
              <w:autoSpaceDN w:val="0"/>
              <w:adjustRightInd w:val="0"/>
              <w:rPr>
                <w:rFonts w:ascii="Verdana" w:hAnsi="Verdana"/>
                <w:sz w:val="18"/>
                <w:szCs w:val="18"/>
              </w:rPr>
            </w:pPr>
          </w:p>
        </w:tc>
        <w:tc>
          <w:tcPr>
            <w:tcW w:w="2782" w:type="dxa"/>
          </w:tcPr>
          <w:p w:rsidR="00785D82" w:rsidRPr="00DF5AB7" w:rsidRDefault="00785D82" w:rsidP="00AE4F9C">
            <w:pPr>
              <w:autoSpaceDE w:val="0"/>
              <w:autoSpaceDN w:val="0"/>
              <w:adjustRightInd w:val="0"/>
              <w:rPr>
                <w:rFonts w:ascii="Verdana" w:hAnsi="Verdana"/>
                <w:sz w:val="18"/>
                <w:szCs w:val="18"/>
              </w:rPr>
            </w:pP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9E6B52" w:rsidRDefault="00785D82" w:rsidP="00AE4F9C">
            <w:pPr>
              <w:widowControl w:val="0"/>
              <w:rPr>
                <w:rFonts w:ascii="Verdana" w:hAnsi="Verdana"/>
                <w:sz w:val="18"/>
                <w:szCs w:val="18"/>
              </w:rPr>
            </w:pPr>
            <w:r w:rsidRPr="00E315CB">
              <w:rPr>
                <w:rFonts w:ascii="Verdana" w:hAnsi="Verdana"/>
                <w:sz w:val="18"/>
                <w:szCs w:val="18"/>
              </w:rPr>
              <w:t>Chapter 4:  Income Statement and Related Information</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4</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Pr="00DF5AB7" w:rsidRDefault="00785D82" w:rsidP="00AE4F9C">
            <w:pPr>
              <w:autoSpaceDE w:val="0"/>
              <w:autoSpaceDN w:val="0"/>
              <w:adjustRightInd w:val="0"/>
              <w:rPr>
                <w:rFonts w:ascii="Verdana" w:hAnsi="Verdana"/>
                <w:sz w:val="18"/>
                <w:szCs w:val="18"/>
              </w:rPr>
            </w:pPr>
          </w:p>
        </w:tc>
        <w:tc>
          <w:tcPr>
            <w:tcW w:w="1613" w:type="dxa"/>
          </w:tcPr>
          <w:p w:rsidR="00785D82" w:rsidRPr="00DF5AB7" w:rsidRDefault="00785D82" w:rsidP="00AE4F9C">
            <w:pPr>
              <w:autoSpaceDE w:val="0"/>
              <w:autoSpaceDN w:val="0"/>
              <w:adjustRightInd w:val="0"/>
              <w:rPr>
                <w:rFonts w:ascii="Verdana" w:hAnsi="Verdana"/>
                <w:sz w:val="18"/>
                <w:szCs w:val="18"/>
              </w:rPr>
            </w:pPr>
          </w:p>
        </w:tc>
        <w:tc>
          <w:tcPr>
            <w:tcW w:w="2782" w:type="dxa"/>
          </w:tcPr>
          <w:p w:rsidR="00785D82" w:rsidRPr="00DF5AB7" w:rsidRDefault="00785D82" w:rsidP="00AE4F9C">
            <w:pPr>
              <w:rPr>
                <w:rFonts w:ascii="Verdana" w:hAnsi="Verdana" w:cstheme="majorBidi"/>
                <w:sz w:val="18"/>
                <w:szCs w:val="18"/>
              </w:rPr>
            </w:pP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AB50BD" w:rsidRDefault="00785D82" w:rsidP="00AE4F9C">
            <w:pPr>
              <w:rPr>
                <w:rFonts w:ascii="Verdana" w:hAnsi="Verdana" w:cstheme="majorBidi"/>
                <w:sz w:val="18"/>
                <w:szCs w:val="18"/>
              </w:rPr>
            </w:pPr>
            <w:r>
              <w:rPr>
                <w:rFonts w:ascii="Verdana" w:hAnsi="Verdana" w:cstheme="majorBidi"/>
                <w:sz w:val="18"/>
                <w:szCs w:val="18"/>
              </w:rPr>
              <w:t>Chapter 5: Balance Sheet and Statement of Cash Flows (Balance Sheet Only)</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5</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E315CB" w:rsidRDefault="00785D82" w:rsidP="00AE4F9C">
            <w:pPr>
              <w:widowControl w:val="0"/>
              <w:rPr>
                <w:rFonts w:ascii="Verdana" w:hAnsi="Verdana"/>
                <w:sz w:val="18"/>
                <w:szCs w:val="18"/>
              </w:rPr>
            </w:pPr>
            <w:r>
              <w:rPr>
                <w:rFonts w:ascii="Verdana" w:hAnsi="Verdana"/>
                <w:sz w:val="18"/>
                <w:szCs w:val="18"/>
              </w:rPr>
              <w:t>Midterm 1</w:t>
            </w:r>
          </w:p>
          <w:p w:rsidR="00785D82" w:rsidRPr="00AB50BD" w:rsidRDefault="00785D82" w:rsidP="00AE4F9C">
            <w:pPr>
              <w:rPr>
                <w:rFonts w:ascii="Verdana" w:hAnsi="Verdana" w:cstheme="majorBidi"/>
                <w:sz w:val="18"/>
                <w:szCs w:val="18"/>
              </w:rPr>
            </w:pP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1, 2, 3, 4, &amp; 5</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AB50BD" w:rsidRDefault="00785D82" w:rsidP="00AE4F9C">
            <w:pPr>
              <w:rPr>
                <w:rFonts w:ascii="Verdana" w:hAnsi="Verdana" w:cstheme="majorBidi"/>
                <w:sz w:val="18"/>
                <w:szCs w:val="18"/>
              </w:rPr>
            </w:pPr>
            <w:r>
              <w:rPr>
                <w:rFonts w:ascii="Verdana" w:hAnsi="Verdana" w:cstheme="majorBidi"/>
                <w:sz w:val="18"/>
                <w:szCs w:val="18"/>
              </w:rPr>
              <w:t>Chapter 7: Cash and Receivables</w:t>
            </w: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r>
              <w:rPr>
                <w:rFonts w:ascii="Verdana" w:hAnsi="Verdana" w:cstheme="majorBidi"/>
                <w:sz w:val="18"/>
                <w:szCs w:val="18"/>
              </w:rPr>
              <w:t>Chapter 7</w:t>
            </w:r>
          </w:p>
        </w:tc>
      </w:tr>
      <w:tr w:rsidR="00785D82" w:rsidRPr="007460CE" w:rsidTr="00AE4F9C">
        <w:trPr>
          <w:trHeight w:val="426"/>
        </w:trPr>
        <w:tc>
          <w:tcPr>
            <w:tcW w:w="568" w:type="dxa"/>
          </w:tcPr>
          <w:p w:rsidR="00785D82" w:rsidRPr="007460CE"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Pr="00AB50BD" w:rsidRDefault="00785D82" w:rsidP="00AE4F9C">
            <w:pPr>
              <w:rPr>
                <w:rFonts w:ascii="Verdana" w:hAnsi="Verdana" w:cstheme="majorBidi"/>
                <w:sz w:val="18"/>
                <w:szCs w:val="18"/>
              </w:rPr>
            </w:pPr>
          </w:p>
        </w:tc>
        <w:tc>
          <w:tcPr>
            <w:tcW w:w="1613" w:type="dxa"/>
          </w:tcPr>
          <w:p w:rsidR="00785D82" w:rsidRPr="005D4D8C" w:rsidRDefault="00785D82" w:rsidP="00AE4F9C">
            <w:pPr>
              <w:autoSpaceDE w:val="0"/>
              <w:autoSpaceDN w:val="0"/>
              <w:adjustRightInd w:val="0"/>
              <w:rPr>
                <w:rFonts w:ascii="Verdana" w:hAnsi="Verdana"/>
                <w:sz w:val="20"/>
                <w:szCs w:val="20"/>
              </w:rPr>
            </w:pPr>
          </w:p>
        </w:tc>
        <w:tc>
          <w:tcPr>
            <w:tcW w:w="2782" w:type="dxa"/>
          </w:tcPr>
          <w:p w:rsidR="00785D82" w:rsidRPr="007460CE" w:rsidRDefault="00785D82" w:rsidP="00AE4F9C">
            <w:pPr>
              <w:rPr>
                <w:rFonts w:ascii="Verdana" w:hAnsi="Verdana" w:cstheme="majorBidi"/>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A82CC6" w:rsidRDefault="00785D82" w:rsidP="00AE4F9C">
            <w:pPr>
              <w:rPr>
                <w:rFonts w:ascii="Verdana" w:hAnsi="Verdana" w:cstheme="majorBidi"/>
                <w:sz w:val="18"/>
                <w:szCs w:val="18"/>
              </w:rPr>
            </w:pPr>
            <w:r>
              <w:rPr>
                <w:rFonts w:ascii="Verdana" w:hAnsi="Verdana"/>
                <w:sz w:val="18"/>
                <w:szCs w:val="18"/>
              </w:rPr>
              <w:t>Chapter 8: Valuation of Inventories</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Pr="00A82CC6" w:rsidRDefault="00785D82" w:rsidP="00AE4F9C">
            <w:pPr>
              <w:rPr>
                <w:rFonts w:ascii="Verdana" w:hAnsi="Verdana" w:cstheme="majorBidi"/>
                <w:sz w:val="18"/>
                <w:szCs w:val="18"/>
              </w:rPr>
            </w:pPr>
            <w:r>
              <w:rPr>
                <w:rFonts w:ascii="Verdana" w:hAnsi="Verdana" w:cstheme="majorBidi"/>
                <w:sz w:val="18"/>
                <w:szCs w:val="18"/>
              </w:rPr>
              <w:t>Chapter 8</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Pr="00A82CC6" w:rsidRDefault="00785D82" w:rsidP="00AE4F9C">
            <w:pPr>
              <w:autoSpaceDE w:val="0"/>
              <w:autoSpaceDN w:val="0"/>
              <w:adjustRightInd w:val="0"/>
              <w:rPr>
                <w:rFonts w:ascii="Verdana" w:hAnsi="Verdana"/>
                <w:sz w:val="18"/>
                <w:szCs w:val="18"/>
              </w:rPr>
            </w:pP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Pr="00A82CC6"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A82CC6" w:rsidRDefault="00785D82" w:rsidP="00AE4F9C">
            <w:pPr>
              <w:autoSpaceDE w:val="0"/>
              <w:autoSpaceDN w:val="0"/>
              <w:adjustRightInd w:val="0"/>
              <w:rPr>
                <w:rFonts w:ascii="Verdana" w:hAnsi="Verdana"/>
                <w:sz w:val="18"/>
                <w:szCs w:val="18"/>
              </w:rPr>
            </w:pPr>
            <w:r>
              <w:rPr>
                <w:rFonts w:ascii="Verdana" w:hAnsi="Verdana"/>
                <w:sz w:val="18"/>
                <w:szCs w:val="18"/>
              </w:rPr>
              <w:t>Chapter 9: Inventories: Additional Valuation Issues</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Pr="00A82CC6" w:rsidRDefault="00785D82" w:rsidP="00AE4F9C">
            <w:pPr>
              <w:autoSpaceDE w:val="0"/>
              <w:autoSpaceDN w:val="0"/>
              <w:adjustRightInd w:val="0"/>
              <w:rPr>
                <w:rFonts w:ascii="Verdana" w:hAnsi="Verdana"/>
                <w:sz w:val="18"/>
                <w:szCs w:val="18"/>
              </w:rPr>
            </w:pPr>
            <w:r>
              <w:rPr>
                <w:rFonts w:ascii="Verdana" w:hAnsi="Verdana"/>
                <w:sz w:val="18"/>
                <w:szCs w:val="18"/>
              </w:rPr>
              <w:t>Chapter 9</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Pr="00A82CC6" w:rsidRDefault="00785D82" w:rsidP="00AE4F9C">
            <w:pPr>
              <w:autoSpaceDE w:val="0"/>
              <w:autoSpaceDN w:val="0"/>
              <w:adjustRightInd w:val="0"/>
              <w:rPr>
                <w:rFonts w:ascii="Verdana" w:hAnsi="Verdana"/>
                <w:sz w:val="18"/>
                <w:szCs w:val="18"/>
              </w:rPr>
            </w:pP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Pr="00A82CC6"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Default="00785D82" w:rsidP="00AE4F9C">
            <w:pPr>
              <w:autoSpaceDE w:val="0"/>
              <w:autoSpaceDN w:val="0"/>
              <w:adjustRightInd w:val="0"/>
              <w:rPr>
                <w:rFonts w:ascii="Verdana" w:hAnsi="Verdana"/>
                <w:sz w:val="18"/>
                <w:szCs w:val="18"/>
              </w:rPr>
            </w:pPr>
            <w:r>
              <w:rPr>
                <w:rFonts w:ascii="Verdana" w:hAnsi="Verdana"/>
                <w:sz w:val="18"/>
                <w:szCs w:val="18"/>
              </w:rPr>
              <w:t>Midterm 2</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Default="00785D82" w:rsidP="00AE4F9C">
            <w:pPr>
              <w:autoSpaceDE w:val="0"/>
              <w:autoSpaceDN w:val="0"/>
              <w:adjustRightInd w:val="0"/>
              <w:rPr>
                <w:rFonts w:ascii="Verdana" w:hAnsi="Verdana"/>
                <w:sz w:val="18"/>
                <w:szCs w:val="18"/>
              </w:rPr>
            </w:pPr>
            <w:r>
              <w:rPr>
                <w:rFonts w:ascii="Verdana" w:hAnsi="Verdana"/>
                <w:sz w:val="18"/>
                <w:szCs w:val="18"/>
              </w:rPr>
              <w:t>Chapters 7, 8, &amp; 9</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Default="00785D82" w:rsidP="00AE4F9C">
            <w:pPr>
              <w:autoSpaceDE w:val="0"/>
              <w:autoSpaceDN w:val="0"/>
              <w:adjustRightInd w:val="0"/>
              <w:rPr>
                <w:rFonts w:ascii="Verdana" w:hAnsi="Verdana"/>
                <w:sz w:val="18"/>
                <w:szCs w:val="18"/>
              </w:rPr>
            </w:pPr>
            <w:r w:rsidRPr="00E315CB">
              <w:rPr>
                <w:rFonts w:ascii="Verdana" w:hAnsi="Verdana"/>
                <w:sz w:val="18"/>
                <w:szCs w:val="18"/>
              </w:rPr>
              <w:t>Chapter 10: Acquisition and Disposition of Property, Plant and Equipment</w:t>
            </w:r>
          </w:p>
        </w:tc>
        <w:tc>
          <w:tcPr>
            <w:tcW w:w="1613" w:type="dxa"/>
            <w:vMerge w:val="restart"/>
          </w:tcPr>
          <w:p w:rsidR="00785D82" w:rsidRPr="00A82CC6" w:rsidRDefault="00785D82" w:rsidP="00AE4F9C">
            <w:pPr>
              <w:autoSpaceDE w:val="0"/>
              <w:autoSpaceDN w:val="0"/>
              <w:adjustRightInd w:val="0"/>
              <w:rPr>
                <w:rFonts w:ascii="Verdana" w:hAnsi="Verdana"/>
                <w:sz w:val="18"/>
                <w:szCs w:val="18"/>
              </w:rPr>
            </w:pPr>
          </w:p>
        </w:tc>
        <w:tc>
          <w:tcPr>
            <w:tcW w:w="2782" w:type="dxa"/>
            <w:vMerge w:val="restart"/>
          </w:tcPr>
          <w:p w:rsidR="00785D82" w:rsidRDefault="00785D82" w:rsidP="00AE4F9C">
            <w:pPr>
              <w:autoSpaceDE w:val="0"/>
              <w:autoSpaceDN w:val="0"/>
              <w:adjustRightInd w:val="0"/>
              <w:rPr>
                <w:rFonts w:ascii="Verdana" w:hAnsi="Verdana"/>
                <w:sz w:val="18"/>
                <w:szCs w:val="18"/>
              </w:rPr>
            </w:pPr>
            <w:r>
              <w:rPr>
                <w:rFonts w:ascii="Verdana" w:hAnsi="Verdana"/>
                <w:sz w:val="18"/>
                <w:szCs w:val="18"/>
              </w:rPr>
              <w:t>Chapter 10</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Default="00785D82" w:rsidP="00AE4F9C">
            <w:pPr>
              <w:autoSpaceDE w:val="0"/>
              <w:autoSpaceDN w:val="0"/>
              <w:adjustRightInd w:val="0"/>
              <w:rPr>
                <w:rFonts w:ascii="Verdana" w:hAnsi="Verdana"/>
                <w:sz w:val="18"/>
                <w:szCs w:val="18"/>
              </w:rPr>
            </w:pPr>
          </w:p>
        </w:tc>
        <w:tc>
          <w:tcPr>
            <w:tcW w:w="1613" w:type="dxa"/>
            <w:vMerge/>
          </w:tcPr>
          <w:p w:rsidR="00785D82" w:rsidRPr="00A82CC6" w:rsidRDefault="00785D82" w:rsidP="00AE4F9C">
            <w:pPr>
              <w:autoSpaceDE w:val="0"/>
              <w:autoSpaceDN w:val="0"/>
              <w:adjustRightInd w:val="0"/>
              <w:rPr>
                <w:rFonts w:ascii="Verdana" w:hAnsi="Verdana"/>
                <w:sz w:val="18"/>
                <w:szCs w:val="18"/>
              </w:rPr>
            </w:pPr>
          </w:p>
        </w:tc>
        <w:tc>
          <w:tcPr>
            <w:tcW w:w="2782" w:type="dxa"/>
            <w:vMerge/>
          </w:tcPr>
          <w:p w:rsidR="00785D82"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E315CB" w:rsidRDefault="00785D82" w:rsidP="00AE4F9C">
            <w:pPr>
              <w:widowControl w:val="0"/>
              <w:rPr>
                <w:rFonts w:ascii="Verdana" w:hAnsi="Verdana"/>
                <w:sz w:val="18"/>
                <w:szCs w:val="18"/>
              </w:rPr>
            </w:pPr>
            <w:r w:rsidRPr="00E315CB">
              <w:rPr>
                <w:rFonts w:ascii="Verdana" w:hAnsi="Verdana"/>
                <w:sz w:val="18"/>
                <w:szCs w:val="18"/>
              </w:rPr>
              <w:t>Chapter 11: Depreciation, Impairments, and Depletion</w:t>
            </w:r>
          </w:p>
          <w:p w:rsidR="00785D82" w:rsidRDefault="00785D82" w:rsidP="00AE4F9C">
            <w:pPr>
              <w:autoSpaceDE w:val="0"/>
              <w:autoSpaceDN w:val="0"/>
              <w:adjustRightInd w:val="0"/>
              <w:rPr>
                <w:rFonts w:ascii="Verdana" w:hAnsi="Verdana"/>
                <w:sz w:val="18"/>
                <w:szCs w:val="18"/>
              </w:rPr>
            </w:pPr>
          </w:p>
        </w:tc>
        <w:tc>
          <w:tcPr>
            <w:tcW w:w="1613" w:type="dxa"/>
            <w:vMerge w:val="restart"/>
          </w:tcPr>
          <w:p w:rsidR="00785D82" w:rsidRPr="00A82CC6" w:rsidRDefault="00785D82" w:rsidP="00AE4F9C">
            <w:pPr>
              <w:autoSpaceDE w:val="0"/>
              <w:autoSpaceDN w:val="0"/>
              <w:adjustRightInd w:val="0"/>
              <w:rPr>
                <w:rFonts w:ascii="Verdana" w:hAnsi="Verdana"/>
                <w:sz w:val="18"/>
                <w:szCs w:val="18"/>
              </w:rPr>
            </w:pPr>
          </w:p>
        </w:tc>
        <w:tc>
          <w:tcPr>
            <w:tcW w:w="2782" w:type="dxa"/>
            <w:vMerge w:val="restart"/>
          </w:tcPr>
          <w:p w:rsidR="00785D82" w:rsidRDefault="00785D82" w:rsidP="00AE4F9C">
            <w:pPr>
              <w:autoSpaceDE w:val="0"/>
              <w:autoSpaceDN w:val="0"/>
              <w:adjustRightInd w:val="0"/>
              <w:rPr>
                <w:rFonts w:ascii="Verdana" w:hAnsi="Verdana"/>
                <w:sz w:val="18"/>
                <w:szCs w:val="18"/>
              </w:rPr>
            </w:pPr>
            <w:r>
              <w:rPr>
                <w:rFonts w:ascii="Verdana" w:hAnsi="Verdana"/>
                <w:sz w:val="18"/>
                <w:szCs w:val="18"/>
              </w:rPr>
              <w:t>Chapter 11</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Default="00785D82" w:rsidP="00AE4F9C">
            <w:pPr>
              <w:autoSpaceDE w:val="0"/>
              <w:autoSpaceDN w:val="0"/>
              <w:adjustRightInd w:val="0"/>
              <w:rPr>
                <w:rFonts w:ascii="Verdana" w:hAnsi="Verdana"/>
                <w:sz w:val="18"/>
                <w:szCs w:val="18"/>
              </w:rPr>
            </w:pPr>
          </w:p>
        </w:tc>
        <w:tc>
          <w:tcPr>
            <w:tcW w:w="1613" w:type="dxa"/>
            <w:vMerge/>
          </w:tcPr>
          <w:p w:rsidR="00785D82" w:rsidRPr="00A82CC6" w:rsidRDefault="00785D82" w:rsidP="00AE4F9C">
            <w:pPr>
              <w:autoSpaceDE w:val="0"/>
              <w:autoSpaceDN w:val="0"/>
              <w:adjustRightInd w:val="0"/>
              <w:rPr>
                <w:rFonts w:ascii="Verdana" w:hAnsi="Verdana"/>
                <w:sz w:val="18"/>
                <w:szCs w:val="18"/>
              </w:rPr>
            </w:pPr>
          </w:p>
        </w:tc>
        <w:tc>
          <w:tcPr>
            <w:tcW w:w="2782" w:type="dxa"/>
            <w:vMerge/>
          </w:tcPr>
          <w:p w:rsidR="00785D82"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Pr="00E315CB" w:rsidRDefault="00785D82" w:rsidP="00AE4F9C">
            <w:pPr>
              <w:widowControl w:val="0"/>
              <w:rPr>
                <w:rFonts w:ascii="Verdana" w:hAnsi="Verdana"/>
                <w:sz w:val="18"/>
                <w:szCs w:val="18"/>
              </w:rPr>
            </w:pPr>
            <w:r>
              <w:rPr>
                <w:rFonts w:ascii="Verdana" w:hAnsi="Verdana"/>
                <w:sz w:val="18"/>
                <w:szCs w:val="18"/>
              </w:rPr>
              <w:t>Chapter 12: Intangible Assets (Goodwill only)</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Default="00785D82" w:rsidP="00AE4F9C">
            <w:pPr>
              <w:autoSpaceDE w:val="0"/>
              <w:autoSpaceDN w:val="0"/>
              <w:adjustRightInd w:val="0"/>
              <w:rPr>
                <w:rFonts w:ascii="Verdana" w:hAnsi="Verdana"/>
                <w:sz w:val="18"/>
                <w:szCs w:val="18"/>
              </w:rPr>
            </w:pPr>
            <w:r>
              <w:rPr>
                <w:rFonts w:ascii="Verdana" w:hAnsi="Verdana" w:cstheme="majorBidi"/>
                <w:sz w:val="18"/>
                <w:szCs w:val="18"/>
              </w:rPr>
              <w:t>Chapter 12</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val="restart"/>
          </w:tcPr>
          <w:p w:rsidR="00785D82" w:rsidRPr="00E315CB" w:rsidRDefault="00785D82" w:rsidP="00AE4F9C">
            <w:pPr>
              <w:widowControl w:val="0"/>
              <w:rPr>
                <w:rFonts w:ascii="Verdana" w:hAnsi="Verdana"/>
                <w:sz w:val="18"/>
                <w:szCs w:val="18"/>
              </w:rPr>
            </w:pPr>
            <w:r w:rsidRPr="00E315CB">
              <w:rPr>
                <w:rFonts w:ascii="Verdana" w:hAnsi="Verdana"/>
                <w:sz w:val="18"/>
                <w:szCs w:val="18"/>
              </w:rPr>
              <w:t>Chapter 15: stockholders’ Equity</w:t>
            </w:r>
          </w:p>
          <w:p w:rsidR="00785D82" w:rsidRDefault="00785D82" w:rsidP="00AE4F9C">
            <w:pPr>
              <w:autoSpaceDE w:val="0"/>
              <w:autoSpaceDN w:val="0"/>
              <w:adjustRightInd w:val="0"/>
              <w:rPr>
                <w:rFonts w:ascii="Verdana" w:hAnsi="Verdana"/>
                <w:sz w:val="18"/>
                <w:szCs w:val="18"/>
              </w:rPr>
            </w:pPr>
          </w:p>
        </w:tc>
        <w:tc>
          <w:tcPr>
            <w:tcW w:w="1613" w:type="dxa"/>
            <w:vMerge w:val="restart"/>
          </w:tcPr>
          <w:p w:rsidR="00785D82" w:rsidRPr="00A82CC6" w:rsidRDefault="00785D82" w:rsidP="00AE4F9C">
            <w:pPr>
              <w:autoSpaceDE w:val="0"/>
              <w:autoSpaceDN w:val="0"/>
              <w:adjustRightInd w:val="0"/>
              <w:rPr>
                <w:rFonts w:ascii="Verdana" w:hAnsi="Verdana"/>
                <w:sz w:val="18"/>
                <w:szCs w:val="18"/>
              </w:rPr>
            </w:pPr>
          </w:p>
        </w:tc>
        <w:tc>
          <w:tcPr>
            <w:tcW w:w="2782" w:type="dxa"/>
            <w:vMerge w:val="restart"/>
          </w:tcPr>
          <w:p w:rsidR="00785D82" w:rsidRDefault="00785D82" w:rsidP="00AE4F9C">
            <w:pPr>
              <w:autoSpaceDE w:val="0"/>
              <w:autoSpaceDN w:val="0"/>
              <w:adjustRightInd w:val="0"/>
              <w:rPr>
                <w:rFonts w:ascii="Verdana" w:hAnsi="Verdana"/>
                <w:sz w:val="18"/>
                <w:szCs w:val="18"/>
              </w:rPr>
            </w:pPr>
            <w:r>
              <w:rPr>
                <w:rFonts w:ascii="Verdana" w:hAnsi="Verdana"/>
                <w:sz w:val="18"/>
                <w:szCs w:val="18"/>
              </w:rPr>
              <w:t>Chapter 15</w:t>
            </w: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vMerge/>
          </w:tcPr>
          <w:p w:rsidR="00785D82" w:rsidRDefault="00785D82" w:rsidP="00AE4F9C">
            <w:pPr>
              <w:autoSpaceDE w:val="0"/>
              <w:autoSpaceDN w:val="0"/>
              <w:adjustRightInd w:val="0"/>
              <w:rPr>
                <w:rFonts w:ascii="Verdana" w:hAnsi="Verdana"/>
                <w:sz w:val="18"/>
                <w:szCs w:val="18"/>
              </w:rPr>
            </w:pPr>
          </w:p>
        </w:tc>
        <w:tc>
          <w:tcPr>
            <w:tcW w:w="1613" w:type="dxa"/>
            <w:vMerge/>
          </w:tcPr>
          <w:p w:rsidR="00785D82" w:rsidRPr="00A82CC6" w:rsidRDefault="00785D82" w:rsidP="00AE4F9C">
            <w:pPr>
              <w:autoSpaceDE w:val="0"/>
              <w:autoSpaceDN w:val="0"/>
              <w:adjustRightInd w:val="0"/>
              <w:rPr>
                <w:rFonts w:ascii="Verdana" w:hAnsi="Verdana"/>
                <w:sz w:val="18"/>
                <w:szCs w:val="18"/>
              </w:rPr>
            </w:pPr>
          </w:p>
        </w:tc>
        <w:tc>
          <w:tcPr>
            <w:tcW w:w="2782" w:type="dxa"/>
            <w:vMerge/>
          </w:tcPr>
          <w:p w:rsidR="00785D82"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Default="00785D82" w:rsidP="00AE4F9C">
            <w:pPr>
              <w:autoSpaceDE w:val="0"/>
              <w:autoSpaceDN w:val="0"/>
              <w:adjustRightInd w:val="0"/>
              <w:rPr>
                <w:rFonts w:ascii="Verdana" w:hAnsi="Verdana"/>
                <w:sz w:val="18"/>
                <w:szCs w:val="18"/>
              </w:rPr>
            </w:pPr>
            <w:r>
              <w:rPr>
                <w:rFonts w:ascii="Verdana" w:hAnsi="Verdana"/>
                <w:sz w:val="18"/>
                <w:szCs w:val="18"/>
              </w:rPr>
              <w:t>Project Presentation</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Default="00785D82" w:rsidP="00AE4F9C">
            <w:pPr>
              <w:autoSpaceDE w:val="0"/>
              <w:autoSpaceDN w:val="0"/>
              <w:adjustRightInd w:val="0"/>
              <w:rPr>
                <w:rFonts w:ascii="Verdana" w:hAnsi="Verdana"/>
                <w:sz w:val="18"/>
                <w:szCs w:val="18"/>
              </w:rPr>
            </w:pPr>
          </w:p>
        </w:tc>
      </w:tr>
      <w:tr w:rsidR="00785D82" w:rsidRPr="00A82CC6" w:rsidTr="00AE4F9C">
        <w:trPr>
          <w:trHeight w:val="426"/>
        </w:trPr>
        <w:tc>
          <w:tcPr>
            <w:tcW w:w="568" w:type="dxa"/>
          </w:tcPr>
          <w:p w:rsidR="00785D82" w:rsidRPr="00A82CC6" w:rsidRDefault="00785D82" w:rsidP="00AE4F9C">
            <w:pPr>
              <w:pStyle w:val="ListParagraph"/>
              <w:numPr>
                <w:ilvl w:val="0"/>
                <w:numId w:val="32"/>
              </w:numPr>
              <w:tabs>
                <w:tab w:val="left" w:pos="426"/>
              </w:tabs>
              <w:ind w:left="0" w:firstLine="0"/>
              <w:rPr>
                <w:rFonts w:ascii="Verdana" w:hAnsi="Verdana" w:cstheme="majorBidi"/>
                <w:sz w:val="18"/>
                <w:szCs w:val="18"/>
              </w:rPr>
            </w:pPr>
          </w:p>
        </w:tc>
        <w:tc>
          <w:tcPr>
            <w:tcW w:w="5386" w:type="dxa"/>
          </w:tcPr>
          <w:p w:rsidR="00785D82" w:rsidRDefault="00785D82" w:rsidP="00AE4F9C">
            <w:pPr>
              <w:autoSpaceDE w:val="0"/>
              <w:autoSpaceDN w:val="0"/>
              <w:adjustRightInd w:val="0"/>
              <w:rPr>
                <w:rFonts w:ascii="Verdana" w:hAnsi="Verdana"/>
                <w:sz w:val="18"/>
                <w:szCs w:val="18"/>
              </w:rPr>
            </w:pPr>
            <w:r>
              <w:rPr>
                <w:rFonts w:ascii="Verdana" w:hAnsi="Verdana"/>
                <w:sz w:val="18"/>
                <w:szCs w:val="18"/>
              </w:rPr>
              <w:t>Final Exam</w:t>
            </w:r>
          </w:p>
        </w:tc>
        <w:tc>
          <w:tcPr>
            <w:tcW w:w="1613" w:type="dxa"/>
          </w:tcPr>
          <w:p w:rsidR="00785D82" w:rsidRPr="00A82CC6" w:rsidRDefault="00785D82" w:rsidP="00AE4F9C">
            <w:pPr>
              <w:autoSpaceDE w:val="0"/>
              <w:autoSpaceDN w:val="0"/>
              <w:adjustRightInd w:val="0"/>
              <w:rPr>
                <w:rFonts w:ascii="Verdana" w:hAnsi="Verdana"/>
                <w:sz w:val="18"/>
                <w:szCs w:val="18"/>
              </w:rPr>
            </w:pPr>
          </w:p>
        </w:tc>
        <w:tc>
          <w:tcPr>
            <w:tcW w:w="2782" w:type="dxa"/>
          </w:tcPr>
          <w:p w:rsidR="00785D82" w:rsidRDefault="00785D82" w:rsidP="00AE4F9C">
            <w:pPr>
              <w:autoSpaceDE w:val="0"/>
              <w:autoSpaceDN w:val="0"/>
              <w:adjustRightInd w:val="0"/>
              <w:rPr>
                <w:rFonts w:ascii="Verdana" w:hAnsi="Verdana"/>
                <w:sz w:val="18"/>
                <w:szCs w:val="18"/>
              </w:rPr>
            </w:pPr>
            <w:r>
              <w:rPr>
                <w:rFonts w:ascii="Verdana" w:hAnsi="Verdana"/>
                <w:sz w:val="18"/>
                <w:szCs w:val="18"/>
              </w:rPr>
              <w:t>Chapters 10, 11,12,&amp; 15</w:t>
            </w:r>
          </w:p>
        </w:tc>
      </w:tr>
    </w:tbl>
    <w:p w:rsidR="00E31073" w:rsidRDefault="00E31073" w:rsidP="0089586C">
      <w:pPr>
        <w:spacing w:after="0" w:line="240" w:lineRule="auto"/>
        <w:jc w:val="center"/>
        <w:rPr>
          <w:rFonts w:ascii="Verdana" w:hAnsi="Verdana" w:cstheme="majorBidi"/>
          <w:sz w:val="20"/>
          <w:szCs w:val="20"/>
        </w:rPr>
      </w:pPr>
    </w:p>
    <w:p w:rsidR="00547C67" w:rsidRPr="007460CE" w:rsidRDefault="00547C67" w:rsidP="0089586C">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sectPr w:rsidR="00547C67" w:rsidRPr="007460CE"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BB" w:rsidRDefault="00745DBB" w:rsidP="00906FDA">
      <w:pPr>
        <w:spacing w:after="0" w:line="240" w:lineRule="auto"/>
      </w:pPr>
      <w:r>
        <w:separator/>
      </w:r>
    </w:p>
  </w:endnote>
  <w:endnote w:type="continuationSeparator" w:id="1">
    <w:p w:rsidR="00745DBB" w:rsidRDefault="00745DBB"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BB" w:rsidRDefault="00745DBB" w:rsidP="00906FDA">
      <w:pPr>
        <w:spacing w:after="0" w:line="240" w:lineRule="auto"/>
      </w:pPr>
      <w:r>
        <w:separator/>
      </w:r>
    </w:p>
  </w:footnote>
  <w:footnote w:type="continuationSeparator" w:id="1">
    <w:p w:rsidR="00745DBB" w:rsidRDefault="00745DBB"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08" w:rsidRDefault="00376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B2481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A0298"/>
    <w:multiLevelType w:val="hybridMultilevel"/>
    <w:tmpl w:val="84C04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639E1466"/>
    <w:lvl w:ilvl="0" w:tplc="E9B6B2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3B12FB"/>
    <w:multiLevelType w:val="hybridMultilevel"/>
    <w:tmpl w:val="D7DA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0648BD"/>
    <w:multiLevelType w:val="hybridMultilevel"/>
    <w:tmpl w:val="7E32D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F0D53"/>
    <w:multiLevelType w:val="hybridMultilevel"/>
    <w:tmpl w:val="CAAC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E2D66"/>
    <w:multiLevelType w:val="hybridMultilevel"/>
    <w:tmpl w:val="C4D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7A36F3"/>
    <w:multiLevelType w:val="hybridMultilevel"/>
    <w:tmpl w:val="DFEC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1"/>
  </w:num>
  <w:num w:numId="4">
    <w:abstractNumId w:val="33"/>
  </w:num>
  <w:num w:numId="5">
    <w:abstractNumId w:val="11"/>
  </w:num>
  <w:num w:numId="6">
    <w:abstractNumId w:val="16"/>
  </w:num>
  <w:num w:numId="7">
    <w:abstractNumId w:val="19"/>
  </w:num>
  <w:num w:numId="8">
    <w:abstractNumId w:val="5"/>
  </w:num>
  <w:num w:numId="9">
    <w:abstractNumId w:val="41"/>
  </w:num>
  <w:num w:numId="10">
    <w:abstractNumId w:val="45"/>
  </w:num>
  <w:num w:numId="11">
    <w:abstractNumId w:val="46"/>
  </w:num>
  <w:num w:numId="12">
    <w:abstractNumId w:val="24"/>
  </w:num>
  <w:num w:numId="13">
    <w:abstractNumId w:val="1"/>
  </w:num>
  <w:num w:numId="14">
    <w:abstractNumId w:val="47"/>
  </w:num>
  <w:num w:numId="15">
    <w:abstractNumId w:val="14"/>
  </w:num>
  <w:num w:numId="16">
    <w:abstractNumId w:val="13"/>
  </w:num>
  <w:num w:numId="17">
    <w:abstractNumId w:val="2"/>
  </w:num>
  <w:num w:numId="18">
    <w:abstractNumId w:val="43"/>
  </w:num>
  <w:num w:numId="19">
    <w:abstractNumId w:val="4"/>
  </w:num>
  <w:num w:numId="20">
    <w:abstractNumId w:val="28"/>
  </w:num>
  <w:num w:numId="21">
    <w:abstractNumId w:val="17"/>
  </w:num>
  <w:num w:numId="22">
    <w:abstractNumId w:val="3"/>
  </w:num>
  <w:num w:numId="23">
    <w:abstractNumId w:val="22"/>
  </w:num>
  <w:num w:numId="24">
    <w:abstractNumId w:val="40"/>
  </w:num>
  <w:num w:numId="25">
    <w:abstractNumId w:val="44"/>
  </w:num>
  <w:num w:numId="26">
    <w:abstractNumId w:val="26"/>
  </w:num>
  <w:num w:numId="27">
    <w:abstractNumId w:val="0"/>
  </w:num>
  <w:num w:numId="28">
    <w:abstractNumId w:val="30"/>
  </w:num>
  <w:num w:numId="29">
    <w:abstractNumId w:val="9"/>
  </w:num>
  <w:num w:numId="30">
    <w:abstractNumId w:val="35"/>
  </w:num>
  <w:num w:numId="31">
    <w:abstractNumId w:val="18"/>
  </w:num>
  <w:num w:numId="32">
    <w:abstractNumId w:val="15"/>
  </w:num>
  <w:num w:numId="33">
    <w:abstractNumId w:val="20"/>
  </w:num>
  <w:num w:numId="34">
    <w:abstractNumId w:val="7"/>
  </w:num>
  <w:num w:numId="35">
    <w:abstractNumId w:val="29"/>
  </w:num>
  <w:num w:numId="36">
    <w:abstractNumId w:val="27"/>
  </w:num>
  <w:num w:numId="37">
    <w:abstractNumId w:val="36"/>
  </w:num>
  <w:num w:numId="38">
    <w:abstractNumId w:val="38"/>
  </w:num>
  <w:num w:numId="39">
    <w:abstractNumId w:val="23"/>
  </w:num>
  <w:num w:numId="40">
    <w:abstractNumId w:val="6"/>
  </w:num>
  <w:num w:numId="41">
    <w:abstractNumId w:val="32"/>
  </w:num>
  <w:num w:numId="42">
    <w:abstractNumId w:val="21"/>
  </w:num>
  <w:num w:numId="43">
    <w:abstractNumId w:val="25"/>
  </w:num>
  <w:num w:numId="44">
    <w:abstractNumId w:val="34"/>
  </w:num>
  <w:num w:numId="45">
    <w:abstractNumId w:val="42"/>
  </w:num>
  <w:num w:numId="46">
    <w:abstractNumId w:val="37"/>
  </w:num>
  <w:num w:numId="47">
    <w:abstractNumId w:val="1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CE0A54"/>
    <w:rsid w:val="000072F1"/>
    <w:rsid w:val="000118D8"/>
    <w:rsid w:val="000139E1"/>
    <w:rsid w:val="000227AB"/>
    <w:rsid w:val="00023A02"/>
    <w:rsid w:val="00032009"/>
    <w:rsid w:val="00032C83"/>
    <w:rsid w:val="000351A6"/>
    <w:rsid w:val="000449A0"/>
    <w:rsid w:val="000466E2"/>
    <w:rsid w:val="000544F5"/>
    <w:rsid w:val="00056853"/>
    <w:rsid w:val="0006540F"/>
    <w:rsid w:val="000667D7"/>
    <w:rsid w:val="00071E3F"/>
    <w:rsid w:val="00073490"/>
    <w:rsid w:val="000745AB"/>
    <w:rsid w:val="00083917"/>
    <w:rsid w:val="000A1111"/>
    <w:rsid w:val="000A11D9"/>
    <w:rsid w:val="000A585C"/>
    <w:rsid w:val="000B293C"/>
    <w:rsid w:val="000B7F3F"/>
    <w:rsid w:val="000D4040"/>
    <w:rsid w:val="000E389E"/>
    <w:rsid w:val="000E7CAE"/>
    <w:rsid w:val="000F19CD"/>
    <w:rsid w:val="000F1A9A"/>
    <w:rsid w:val="000F1FDD"/>
    <w:rsid w:val="000F3F7B"/>
    <w:rsid w:val="000F3FEC"/>
    <w:rsid w:val="000F5511"/>
    <w:rsid w:val="00102626"/>
    <w:rsid w:val="00103253"/>
    <w:rsid w:val="001060E5"/>
    <w:rsid w:val="00115AEA"/>
    <w:rsid w:val="001326F4"/>
    <w:rsid w:val="00133AC8"/>
    <w:rsid w:val="00134392"/>
    <w:rsid w:val="00140FDB"/>
    <w:rsid w:val="001429D8"/>
    <w:rsid w:val="00144756"/>
    <w:rsid w:val="00145550"/>
    <w:rsid w:val="00153284"/>
    <w:rsid w:val="0015558B"/>
    <w:rsid w:val="00161163"/>
    <w:rsid w:val="0016319E"/>
    <w:rsid w:val="00164A75"/>
    <w:rsid w:val="001768B4"/>
    <w:rsid w:val="00181A57"/>
    <w:rsid w:val="00183E03"/>
    <w:rsid w:val="0019291A"/>
    <w:rsid w:val="00192AC8"/>
    <w:rsid w:val="00192D94"/>
    <w:rsid w:val="001A0469"/>
    <w:rsid w:val="001A080A"/>
    <w:rsid w:val="001A1149"/>
    <w:rsid w:val="001C228C"/>
    <w:rsid w:val="001C72F2"/>
    <w:rsid w:val="001D25B4"/>
    <w:rsid w:val="001D5DA7"/>
    <w:rsid w:val="001E13BB"/>
    <w:rsid w:val="001E1DC8"/>
    <w:rsid w:val="001E225B"/>
    <w:rsid w:val="00200195"/>
    <w:rsid w:val="00205FC6"/>
    <w:rsid w:val="00211200"/>
    <w:rsid w:val="00216A2B"/>
    <w:rsid w:val="00220816"/>
    <w:rsid w:val="00225CDB"/>
    <w:rsid w:val="0022712A"/>
    <w:rsid w:val="00227B52"/>
    <w:rsid w:val="00236943"/>
    <w:rsid w:val="00237F22"/>
    <w:rsid w:val="002431E9"/>
    <w:rsid w:val="00246945"/>
    <w:rsid w:val="00252DE5"/>
    <w:rsid w:val="002560D2"/>
    <w:rsid w:val="00260F11"/>
    <w:rsid w:val="0026178C"/>
    <w:rsid w:val="0026225B"/>
    <w:rsid w:val="002645BC"/>
    <w:rsid w:val="00273129"/>
    <w:rsid w:val="002846E0"/>
    <w:rsid w:val="0028507D"/>
    <w:rsid w:val="00285BB0"/>
    <w:rsid w:val="00286CE7"/>
    <w:rsid w:val="00296105"/>
    <w:rsid w:val="00297056"/>
    <w:rsid w:val="002A2CEB"/>
    <w:rsid w:val="002A46CC"/>
    <w:rsid w:val="002B133E"/>
    <w:rsid w:val="002B22D1"/>
    <w:rsid w:val="002B2C46"/>
    <w:rsid w:val="002B33D4"/>
    <w:rsid w:val="002C4E32"/>
    <w:rsid w:val="002C7FFC"/>
    <w:rsid w:val="002E1C35"/>
    <w:rsid w:val="00303F6B"/>
    <w:rsid w:val="00310EFB"/>
    <w:rsid w:val="00321FC3"/>
    <w:rsid w:val="00335EDE"/>
    <w:rsid w:val="00336E59"/>
    <w:rsid w:val="003378B6"/>
    <w:rsid w:val="00346AD5"/>
    <w:rsid w:val="0035071E"/>
    <w:rsid w:val="00354773"/>
    <w:rsid w:val="00356FFA"/>
    <w:rsid w:val="003576EA"/>
    <w:rsid w:val="00367584"/>
    <w:rsid w:val="00376908"/>
    <w:rsid w:val="00377ABD"/>
    <w:rsid w:val="00383CFA"/>
    <w:rsid w:val="0039199D"/>
    <w:rsid w:val="00395AA3"/>
    <w:rsid w:val="00396249"/>
    <w:rsid w:val="003A626E"/>
    <w:rsid w:val="003B4235"/>
    <w:rsid w:val="003B4E71"/>
    <w:rsid w:val="003D446F"/>
    <w:rsid w:val="003D63DA"/>
    <w:rsid w:val="00405E78"/>
    <w:rsid w:val="004073B7"/>
    <w:rsid w:val="0040743C"/>
    <w:rsid w:val="004139B3"/>
    <w:rsid w:val="00415EAF"/>
    <w:rsid w:val="00431203"/>
    <w:rsid w:val="00431636"/>
    <w:rsid w:val="0044075F"/>
    <w:rsid w:val="00442656"/>
    <w:rsid w:val="00446573"/>
    <w:rsid w:val="00454905"/>
    <w:rsid w:val="00457204"/>
    <w:rsid w:val="00461C0D"/>
    <w:rsid w:val="00467EBE"/>
    <w:rsid w:val="00470E2C"/>
    <w:rsid w:val="0048210D"/>
    <w:rsid w:val="00485646"/>
    <w:rsid w:val="0049010E"/>
    <w:rsid w:val="00492EDD"/>
    <w:rsid w:val="00495402"/>
    <w:rsid w:val="00497916"/>
    <w:rsid w:val="004A5103"/>
    <w:rsid w:val="004A60DA"/>
    <w:rsid w:val="004B52DA"/>
    <w:rsid w:val="004C0963"/>
    <w:rsid w:val="004C32E6"/>
    <w:rsid w:val="004C3B7C"/>
    <w:rsid w:val="004C4290"/>
    <w:rsid w:val="004D1145"/>
    <w:rsid w:val="004D53A9"/>
    <w:rsid w:val="004D5CC9"/>
    <w:rsid w:val="004D5DF9"/>
    <w:rsid w:val="004D602D"/>
    <w:rsid w:val="004E6E5E"/>
    <w:rsid w:val="004F7143"/>
    <w:rsid w:val="0050121D"/>
    <w:rsid w:val="00501DA4"/>
    <w:rsid w:val="00501E65"/>
    <w:rsid w:val="005027F2"/>
    <w:rsid w:val="005046B4"/>
    <w:rsid w:val="00512E19"/>
    <w:rsid w:val="005156E6"/>
    <w:rsid w:val="00517A29"/>
    <w:rsid w:val="0052028D"/>
    <w:rsid w:val="005255CC"/>
    <w:rsid w:val="00525A3B"/>
    <w:rsid w:val="005306C4"/>
    <w:rsid w:val="00532547"/>
    <w:rsid w:val="005332E8"/>
    <w:rsid w:val="0054437E"/>
    <w:rsid w:val="00547230"/>
    <w:rsid w:val="005479F3"/>
    <w:rsid w:val="00547C67"/>
    <w:rsid w:val="005521FF"/>
    <w:rsid w:val="00552D69"/>
    <w:rsid w:val="00556AEE"/>
    <w:rsid w:val="00560E89"/>
    <w:rsid w:val="00560ED2"/>
    <w:rsid w:val="00561B5C"/>
    <w:rsid w:val="00565537"/>
    <w:rsid w:val="005726C6"/>
    <w:rsid w:val="00573530"/>
    <w:rsid w:val="005832CA"/>
    <w:rsid w:val="005874B7"/>
    <w:rsid w:val="005876EF"/>
    <w:rsid w:val="005A12AE"/>
    <w:rsid w:val="005A44C8"/>
    <w:rsid w:val="005A57FD"/>
    <w:rsid w:val="005C395C"/>
    <w:rsid w:val="005C74EB"/>
    <w:rsid w:val="005C7598"/>
    <w:rsid w:val="005C7FC1"/>
    <w:rsid w:val="005D1B22"/>
    <w:rsid w:val="005D48D6"/>
    <w:rsid w:val="005E181F"/>
    <w:rsid w:val="005E45CD"/>
    <w:rsid w:val="005E4B6A"/>
    <w:rsid w:val="005F447F"/>
    <w:rsid w:val="005F5E68"/>
    <w:rsid w:val="005F6D05"/>
    <w:rsid w:val="005F7B36"/>
    <w:rsid w:val="00602E14"/>
    <w:rsid w:val="00613358"/>
    <w:rsid w:val="00614D3C"/>
    <w:rsid w:val="00615098"/>
    <w:rsid w:val="0062055C"/>
    <w:rsid w:val="0062397A"/>
    <w:rsid w:val="00624CA7"/>
    <w:rsid w:val="006322D9"/>
    <w:rsid w:val="00635D94"/>
    <w:rsid w:val="00637452"/>
    <w:rsid w:val="0064041C"/>
    <w:rsid w:val="00641866"/>
    <w:rsid w:val="00642F64"/>
    <w:rsid w:val="00642FB5"/>
    <w:rsid w:val="00647B61"/>
    <w:rsid w:val="00650914"/>
    <w:rsid w:val="00651070"/>
    <w:rsid w:val="00657390"/>
    <w:rsid w:val="00670F3F"/>
    <w:rsid w:val="00674A35"/>
    <w:rsid w:val="006805FA"/>
    <w:rsid w:val="00684613"/>
    <w:rsid w:val="006878E0"/>
    <w:rsid w:val="00690C99"/>
    <w:rsid w:val="00694854"/>
    <w:rsid w:val="0069742A"/>
    <w:rsid w:val="006A0F03"/>
    <w:rsid w:val="006A3356"/>
    <w:rsid w:val="006B6EC5"/>
    <w:rsid w:val="006C08BE"/>
    <w:rsid w:val="006C0C4E"/>
    <w:rsid w:val="006C4C0B"/>
    <w:rsid w:val="006D0F47"/>
    <w:rsid w:val="006D6374"/>
    <w:rsid w:val="006F011B"/>
    <w:rsid w:val="006F0679"/>
    <w:rsid w:val="006F4A19"/>
    <w:rsid w:val="0070302B"/>
    <w:rsid w:val="007137EF"/>
    <w:rsid w:val="00713F42"/>
    <w:rsid w:val="00721E19"/>
    <w:rsid w:val="00734F90"/>
    <w:rsid w:val="00735015"/>
    <w:rsid w:val="00736281"/>
    <w:rsid w:val="00737FE0"/>
    <w:rsid w:val="00740BFC"/>
    <w:rsid w:val="00741929"/>
    <w:rsid w:val="00741B65"/>
    <w:rsid w:val="007457FE"/>
    <w:rsid w:val="00745DBB"/>
    <w:rsid w:val="007460CE"/>
    <w:rsid w:val="007522AA"/>
    <w:rsid w:val="00755284"/>
    <w:rsid w:val="0076042D"/>
    <w:rsid w:val="00771789"/>
    <w:rsid w:val="00772E69"/>
    <w:rsid w:val="00777A28"/>
    <w:rsid w:val="0078587B"/>
    <w:rsid w:val="00785D82"/>
    <w:rsid w:val="00790CB1"/>
    <w:rsid w:val="00794D2E"/>
    <w:rsid w:val="00794FB9"/>
    <w:rsid w:val="00797C09"/>
    <w:rsid w:val="007A2E43"/>
    <w:rsid w:val="007A55BB"/>
    <w:rsid w:val="007A79D9"/>
    <w:rsid w:val="007B1926"/>
    <w:rsid w:val="007B4B49"/>
    <w:rsid w:val="007D13E5"/>
    <w:rsid w:val="007D5C07"/>
    <w:rsid w:val="007E3501"/>
    <w:rsid w:val="007E3784"/>
    <w:rsid w:val="007E5C92"/>
    <w:rsid w:val="008005F2"/>
    <w:rsid w:val="00802FF7"/>
    <w:rsid w:val="00807944"/>
    <w:rsid w:val="0082322D"/>
    <w:rsid w:val="008276E3"/>
    <w:rsid w:val="00831794"/>
    <w:rsid w:val="0083193D"/>
    <w:rsid w:val="00841FA4"/>
    <w:rsid w:val="00844E03"/>
    <w:rsid w:val="00846205"/>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92EDB"/>
    <w:rsid w:val="0089586C"/>
    <w:rsid w:val="008A2826"/>
    <w:rsid w:val="008B5CA2"/>
    <w:rsid w:val="008B7CE5"/>
    <w:rsid w:val="008C022B"/>
    <w:rsid w:val="008C0CB9"/>
    <w:rsid w:val="008E2C43"/>
    <w:rsid w:val="008E5976"/>
    <w:rsid w:val="008F1439"/>
    <w:rsid w:val="008F57FF"/>
    <w:rsid w:val="00902C71"/>
    <w:rsid w:val="00906FDA"/>
    <w:rsid w:val="00912F67"/>
    <w:rsid w:val="0091519C"/>
    <w:rsid w:val="009167DC"/>
    <w:rsid w:val="009217CA"/>
    <w:rsid w:val="00922DE1"/>
    <w:rsid w:val="00925875"/>
    <w:rsid w:val="00927018"/>
    <w:rsid w:val="009311E3"/>
    <w:rsid w:val="00931958"/>
    <w:rsid w:val="00931DF1"/>
    <w:rsid w:val="00932543"/>
    <w:rsid w:val="00933E1C"/>
    <w:rsid w:val="00937CAF"/>
    <w:rsid w:val="00940A1C"/>
    <w:rsid w:val="00946B46"/>
    <w:rsid w:val="0094709B"/>
    <w:rsid w:val="00966988"/>
    <w:rsid w:val="00970FC2"/>
    <w:rsid w:val="009739A6"/>
    <w:rsid w:val="0098083A"/>
    <w:rsid w:val="00984D4B"/>
    <w:rsid w:val="0098534C"/>
    <w:rsid w:val="00994350"/>
    <w:rsid w:val="00994F3E"/>
    <w:rsid w:val="009A1B33"/>
    <w:rsid w:val="009D1F69"/>
    <w:rsid w:val="009D252C"/>
    <w:rsid w:val="009D4835"/>
    <w:rsid w:val="009D50E8"/>
    <w:rsid w:val="009D6659"/>
    <w:rsid w:val="009D6E70"/>
    <w:rsid w:val="009E4B03"/>
    <w:rsid w:val="009E5F21"/>
    <w:rsid w:val="009F662E"/>
    <w:rsid w:val="009F7BE3"/>
    <w:rsid w:val="00A01401"/>
    <w:rsid w:val="00A01D2B"/>
    <w:rsid w:val="00A04E19"/>
    <w:rsid w:val="00A11C6D"/>
    <w:rsid w:val="00A14FD1"/>
    <w:rsid w:val="00A15E15"/>
    <w:rsid w:val="00A16299"/>
    <w:rsid w:val="00A4704B"/>
    <w:rsid w:val="00A5746B"/>
    <w:rsid w:val="00A61DAA"/>
    <w:rsid w:val="00A64F08"/>
    <w:rsid w:val="00A861EB"/>
    <w:rsid w:val="00A863B0"/>
    <w:rsid w:val="00A903C3"/>
    <w:rsid w:val="00A91B2E"/>
    <w:rsid w:val="00A95FAC"/>
    <w:rsid w:val="00AA0B3B"/>
    <w:rsid w:val="00AA3416"/>
    <w:rsid w:val="00AA48A5"/>
    <w:rsid w:val="00AB37C6"/>
    <w:rsid w:val="00AB50BD"/>
    <w:rsid w:val="00AC21E0"/>
    <w:rsid w:val="00AD3D57"/>
    <w:rsid w:val="00AD5A5C"/>
    <w:rsid w:val="00AF3060"/>
    <w:rsid w:val="00AF5568"/>
    <w:rsid w:val="00B12ADE"/>
    <w:rsid w:val="00B15AFE"/>
    <w:rsid w:val="00B171C4"/>
    <w:rsid w:val="00B176D2"/>
    <w:rsid w:val="00B20D5D"/>
    <w:rsid w:val="00B275EF"/>
    <w:rsid w:val="00B27E38"/>
    <w:rsid w:val="00B40842"/>
    <w:rsid w:val="00B418E9"/>
    <w:rsid w:val="00B44632"/>
    <w:rsid w:val="00B45670"/>
    <w:rsid w:val="00B4671D"/>
    <w:rsid w:val="00B5101F"/>
    <w:rsid w:val="00B540C8"/>
    <w:rsid w:val="00B76ACF"/>
    <w:rsid w:val="00B80A70"/>
    <w:rsid w:val="00B82687"/>
    <w:rsid w:val="00B85115"/>
    <w:rsid w:val="00B90380"/>
    <w:rsid w:val="00B91203"/>
    <w:rsid w:val="00B9199C"/>
    <w:rsid w:val="00B93DF3"/>
    <w:rsid w:val="00B96920"/>
    <w:rsid w:val="00BA73F7"/>
    <w:rsid w:val="00BB163A"/>
    <w:rsid w:val="00BB371B"/>
    <w:rsid w:val="00BB6A25"/>
    <w:rsid w:val="00BC7149"/>
    <w:rsid w:val="00BD039D"/>
    <w:rsid w:val="00BD28DA"/>
    <w:rsid w:val="00BD2E40"/>
    <w:rsid w:val="00BE1ACF"/>
    <w:rsid w:val="00BE28D0"/>
    <w:rsid w:val="00BE39A7"/>
    <w:rsid w:val="00BF175F"/>
    <w:rsid w:val="00BF20E3"/>
    <w:rsid w:val="00C0117A"/>
    <w:rsid w:val="00C048E9"/>
    <w:rsid w:val="00C1231E"/>
    <w:rsid w:val="00C123D6"/>
    <w:rsid w:val="00C1379F"/>
    <w:rsid w:val="00C15D98"/>
    <w:rsid w:val="00C17949"/>
    <w:rsid w:val="00C27234"/>
    <w:rsid w:val="00C27A4D"/>
    <w:rsid w:val="00C31981"/>
    <w:rsid w:val="00C31BB4"/>
    <w:rsid w:val="00C35EBD"/>
    <w:rsid w:val="00C36D47"/>
    <w:rsid w:val="00C506F9"/>
    <w:rsid w:val="00C50FE4"/>
    <w:rsid w:val="00C53C98"/>
    <w:rsid w:val="00C54F19"/>
    <w:rsid w:val="00C63933"/>
    <w:rsid w:val="00C67D8F"/>
    <w:rsid w:val="00C7253B"/>
    <w:rsid w:val="00C76EF4"/>
    <w:rsid w:val="00C80166"/>
    <w:rsid w:val="00C81905"/>
    <w:rsid w:val="00C81989"/>
    <w:rsid w:val="00C92AA3"/>
    <w:rsid w:val="00C9398A"/>
    <w:rsid w:val="00C94F6F"/>
    <w:rsid w:val="00C96A0D"/>
    <w:rsid w:val="00CA3628"/>
    <w:rsid w:val="00CA5E12"/>
    <w:rsid w:val="00CB69A8"/>
    <w:rsid w:val="00CB7241"/>
    <w:rsid w:val="00CC738B"/>
    <w:rsid w:val="00CC7664"/>
    <w:rsid w:val="00CD0C07"/>
    <w:rsid w:val="00CD3D3D"/>
    <w:rsid w:val="00CD78DA"/>
    <w:rsid w:val="00CE0A54"/>
    <w:rsid w:val="00CE2390"/>
    <w:rsid w:val="00CE5B7D"/>
    <w:rsid w:val="00CF26F5"/>
    <w:rsid w:val="00CF6D54"/>
    <w:rsid w:val="00D02678"/>
    <w:rsid w:val="00D03402"/>
    <w:rsid w:val="00D0657A"/>
    <w:rsid w:val="00D1372B"/>
    <w:rsid w:val="00D235A0"/>
    <w:rsid w:val="00D3283F"/>
    <w:rsid w:val="00D34265"/>
    <w:rsid w:val="00D369F8"/>
    <w:rsid w:val="00D406D2"/>
    <w:rsid w:val="00D506A3"/>
    <w:rsid w:val="00D51266"/>
    <w:rsid w:val="00D55DA2"/>
    <w:rsid w:val="00D5701E"/>
    <w:rsid w:val="00D606A5"/>
    <w:rsid w:val="00D6359A"/>
    <w:rsid w:val="00D64914"/>
    <w:rsid w:val="00D74D8D"/>
    <w:rsid w:val="00D8015D"/>
    <w:rsid w:val="00D95522"/>
    <w:rsid w:val="00DB09D3"/>
    <w:rsid w:val="00DB49F2"/>
    <w:rsid w:val="00DB58FE"/>
    <w:rsid w:val="00DC6554"/>
    <w:rsid w:val="00DD0FCD"/>
    <w:rsid w:val="00DD51EE"/>
    <w:rsid w:val="00DD79A5"/>
    <w:rsid w:val="00DE3150"/>
    <w:rsid w:val="00DF118C"/>
    <w:rsid w:val="00DF3070"/>
    <w:rsid w:val="00DF5C1E"/>
    <w:rsid w:val="00E03979"/>
    <w:rsid w:val="00E060E1"/>
    <w:rsid w:val="00E07993"/>
    <w:rsid w:val="00E14ECC"/>
    <w:rsid w:val="00E220C1"/>
    <w:rsid w:val="00E22E04"/>
    <w:rsid w:val="00E235A8"/>
    <w:rsid w:val="00E30D11"/>
    <w:rsid w:val="00E31073"/>
    <w:rsid w:val="00E310A5"/>
    <w:rsid w:val="00E35609"/>
    <w:rsid w:val="00E43092"/>
    <w:rsid w:val="00E438CA"/>
    <w:rsid w:val="00E43EA4"/>
    <w:rsid w:val="00E43F07"/>
    <w:rsid w:val="00E50567"/>
    <w:rsid w:val="00E647E1"/>
    <w:rsid w:val="00E7445F"/>
    <w:rsid w:val="00E74604"/>
    <w:rsid w:val="00E75F28"/>
    <w:rsid w:val="00E84AA3"/>
    <w:rsid w:val="00E90DDD"/>
    <w:rsid w:val="00E91BFD"/>
    <w:rsid w:val="00E95B99"/>
    <w:rsid w:val="00EA212E"/>
    <w:rsid w:val="00EA6F89"/>
    <w:rsid w:val="00EB456F"/>
    <w:rsid w:val="00EC3E56"/>
    <w:rsid w:val="00ED6959"/>
    <w:rsid w:val="00ED7506"/>
    <w:rsid w:val="00EE5FCE"/>
    <w:rsid w:val="00EE7590"/>
    <w:rsid w:val="00F0167F"/>
    <w:rsid w:val="00F07365"/>
    <w:rsid w:val="00F150A6"/>
    <w:rsid w:val="00F20BD6"/>
    <w:rsid w:val="00F20D3B"/>
    <w:rsid w:val="00F22D81"/>
    <w:rsid w:val="00F26A20"/>
    <w:rsid w:val="00F333F3"/>
    <w:rsid w:val="00F33FCA"/>
    <w:rsid w:val="00F4616A"/>
    <w:rsid w:val="00F47FEC"/>
    <w:rsid w:val="00F659C3"/>
    <w:rsid w:val="00F70121"/>
    <w:rsid w:val="00F8141C"/>
    <w:rsid w:val="00F81784"/>
    <w:rsid w:val="00F82976"/>
    <w:rsid w:val="00F86B2F"/>
    <w:rsid w:val="00F919AB"/>
    <w:rsid w:val="00F92030"/>
    <w:rsid w:val="00F92223"/>
    <w:rsid w:val="00F9308F"/>
    <w:rsid w:val="00FA45CD"/>
    <w:rsid w:val="00FA4C19"/>
    <w:rsid w:val="00FC2705"/>
    <w:rsid w:val="00FD1A13"/>
    <w:rsid w:val="00FD74F3"/>
    <w:rsid w:val="00FE41ED"/>
    <w:rsid w:val="00FF3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D6"/>
  </w:style>
  <w:style w:type="paragraph" w:styleId="Heading3">
    <w:name w:val="heading 3"/>
    <w:basedOn w:val="Normal"/>
    <w:next w:val="Normal"/>
    <w:link w:val="Heading3Char"/>
    <w:uiPriority w:val="9"/>
    <w:semiHidden/>
    <w:unhideWhenUsed/>
    <w:qFormat/>
    <w:rsid w:val="0047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rsid w:val="0089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rmation">
    <w:name w:val="Contact Information"/>
    <w:basedOn w:val="Heading3"/>
    <w:next w:val="ListParagraph"/>
    <w:rsid w:val="00470E2C"/>
    <w:pPr>
      <w:keepNext w:val="0"/>
      <w:keepLines w:val="0"/>
      <w:tabs>
        <w:tab w:val="right" w:pos="6480"/>
      </w:tabs>
      <w:spacing w:before="20" w:line="240" w:lineRule="auto"/>
    </w:pPr>
    <w:rPr>
      <w:rFonts w:ascii="Garamond" w:eastAsia="Times New Roman" w:hAnsi="Garamond" w:cs="Arial"/>
      <w:color w:val="auto"/>
      <w:sz w:val="20"/>
      <w:szCs w:val="20"/>
    </w:rPr>
  </w:style>
  <w:style w:type="character" w:customStyle="1" w:styleId="Heading3Char">
    <w:name w:val="Heading 3 Char"/>
    <w:basedOn w:val="DefaultParagraphFont"/>
    <w:link w:val="Heading3"/>
    <w:uiPriority w:val="9"/>
    <w:semiHidden/>
    <w:rsid w:val="00470E2C"/>
    <w:rPr>
      <w:rFonts w:asciiTheme="majorHAnsi" w:eastAsiaTheme="majorEastAsia" w:hAnsiTheme="majorHAnsi" w:cstheme="majorBidi"/>
      <w:b/>
      <w:bCs/>
      <w:color w:val="4F81BD" w:themeColor="accent1"/>
    </w:rPr>
  </w:style>
  <w:style w:type="character" w:styleId="Strong">
    <w:name w:val="Strong"/>
    <w:basedOn w:val="DefaultParagraphFont"/>
    <w:qFormat/>
    <w:rsid w:val="004856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70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NormalWeb">
    <w:name w:val="Normal (Web)"/>
    <w:basedOn w:val="Normal"/>
    <w:rsid w:val="00895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Information">
    <w:name w:val="Contact Information"/>
    <w:basedOn w:val="Heading3"/>
    <w:next w:val="ListParagraph"/>
    <w:rsid w:val="00470E2C"/>
    <w:pPr>
      <w:keepNext w:val="0"/>
      <w:keepLines w:val="0"/>
      <w:tabs>
        <w:tab w:val="right" w:pos="6480"/>
      </w:tabs>
      <w:spacing w:before="20" w:line="240" w:lineRule="auto"/>
    </w:pPr>
    <w:rPr>
      <w:rFonts w:ascii="Garamond" w:eastAsia="Times New Roman" w:hAnsi="Garamond" w:cs="Arial"/>
      <w:color w:val="auto"/>
      <w:sz w:val="20"/>
      <w:szCs w:val="20"/>
    </w:rPr>
  </w:style>
  <w:style w:type="character" w:customStyle="1" w:styleId="Heading3Char">
    <w:name w:val="Heading 3 Char"/>
    <w:basedOn w:val="DefaultParagraphFont"/>
    <w:link w:val="Heading3"/>
    <w:uiPriority w:val="9"/>
    <w:semiHidden/>
    <w:rsid w:val="00470E2C"/>
    <w:rPr>
      <w:rFonts w:asciiTheme="majorHAnsi" w:eastAsiaTheme="majorEastAsia" w:hAnsiTheme="majorHAnsi" w:cstheme="majorBidi"/>
      <w:b/>
      <w:bCs/>
      <w:color w:val="4F81BD" w:themeColor="accent1"/>
    </w:rPr>
  </w:style>
  <w:style w:type="character" w:styleId="Strong">
    <w:name w:val="Strong"/>
    <w:basedOn w:val="DefaultParagraphFont"/>
    <w:qFormat/>
    <w:rsid w:val="00485646"/>
    <w:rPr>
      <w:b/>
      <w:bCs/>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363286192">
      <w:bodyDiv w:val="1"/>
      <w:marLeft w:val="0"/>
      <w:marRight w:val="0"/>
      <w:marTop w:val="0"/>
      <w:marBottom w:val="0"/>
      <w:divBdr>
        <w:top w:val="none" w:sz="0" w:space="0" w:color="auto"/>
        <w:left w:val="none" w:sz="0" w:space="0" w:color="auto"/>
        <w:bottom w:val="none" w:sz="0" w:space="0" w:color="auto"/>
        <w:right w:val="none" w:sz="0" w:space="0" w:color="auto"/>
      </w:divBdr>
      <w:divsChild>
        <w:div w:id="790897409">
          <w:marLeft w:val="0"/>
          <w:marRight w:val="0"/>
          <w:marTop w:val="0"/>
          <w:marBottom w:val="0"/>
          <w:divBdr>
            <w:top w:val="none" w:sz="0" w:space="0" w:color="auto"/>
            <w:left w:val="none" w:sz="0" w:space="0" w:color="auto"/>
            <w:bottom w:val="none" w:sz="0" w:space="0" w:color="auto"/>
            <w:right w:val="none" w:sz="0" w:space="0" w:color="auto"/>
          </w:divBdr>
        </w:div>
        <w:div w:id="7565559">
          <w:marLeft w:val="0"/>
          <w:marRight w:val="0"/>
          <w:marTop w:val="0"/>
          <w:marBottom w:val="0"/>
          <w:divBdr>
            <w:top w:val="none" w:sz="0" w:space="0" w:color="auto"/>
            <w:left w:val="none" w:sz="0" w:space="0" w:color="auto"/>
            <w:bottom w:val="none" w:sz="0" w:space="0" w:color="auto"/>
            <w:right w:val="none" w:sz="0" w:space="0" w:color="auto"/>
          </w:divBdr>
        </w:div>
        <w:div w:id="1363246820">
          <w:marLeft w:val="0"/>
          <w:marRight w:val="0"/>
          <w:marTop w:val="0"/>
          <w:marBottom w:val="0"/>
          <w:divBdr>
            <w:top w:val="none" w:sz="0" w:space="0" w:color="auto"/>
            <w:left w:val="none" w:sz="0" w:space="0" w:color="auto"/>
            <w:bottom w:val="none" w:sz="0" w:space="0" w:color="auto"/>
            <w:right w:val="none" w:sz="0" w:space="0" w:color="auto"/>
          </w:divBdr>
        </w:div>
        <w:div w:id="378550503">
          <w:marLeft w:val="0"/>
          <w:marRight w:val="0"/>
          <w:marTop w:val="0"/>
          <w:marBottom w:val="0"/>
          <w:divBdr>
            <w:top w:val="none" w:sz="0" w:space="0" w:color="auto"/>
            <w:left w:val="none" w:sz="0" w:space="0" w:color="auto"/>
            <w:bottom w:val="none" w:sz="0" w:space="0" w:color="auto"/>
            <w:right w:val="none" w:sz="0" w:space="0" w:color="auto"/>
          </w:divBdr>
        </w:div>
      </w:divsChild>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0D19-FD2A-4D1D-857D-A86B9BFD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Hp</cp:lastModifiedBy>
  <cp:revision>52</cp:revision>
  <cp:lastPrinted>2016-05-02T06:09:00Z</cp:lastPrinted>
  <dcterms:created xsi:type="dcterms:W3CDTF">2016-04-26T20:22:00Z</dcterms:created>
  <dcterms:modified xsi:type="dcterms:W3CDTF">2019-05-26T06:02:00Z</dcterms:modified>
</cp:coreProperties>
</file>